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A74A" w14:textId="77777777" w:rsidR="0092359F" w:rsidRDefault="00B50D86">
      <w:pPr>
        <w:pBdr>
          <w:bottom w:val="single" w:sz="8" w:space="0" w:color="009CDE"/>
        </w:pBdr>
        <w:spacing w:before="160" w:after="60"/>
      </w:pPr>
      <w:r>
        <w:rPr>
          <w:b/>
          <w:bCs/>
          <w:color w:val="00243C"/>
          <w:sz w:val="40"/>
          <w:szCs w:val="40"/>
        </w:rPr>
        <w:t>GRA I&amp;E Funding Program  ·  Faculty Guide</w:t>
      </w:r>
    </w:p>
    <w:p w14:paraId="02CAA74B" w14:textId="78723B48" w:rsidR="0092359F" w:rsidRDefault="00B50D86">
      <w:pPr>
        <w:spacing w:before="60" w:after="200"/>
      </w:pPr>
      <w:r>
        <w:rPr>
          <w:i/>
          <w:iCs/>
          <w:color w:val="555555"/>
        </w:rPr>
        <w:t xml:space="preserve">What it is, whether </w:t>
      </w:r>
      <w:r w:rsidR="00B17FBA">
        <w:rPr>
          <w:i/>
          <w:iCs/>
          <w:color w:val="555555"/>
        </w:rPr>
        <w:t xml:space="preserve">your project </w:t>
      </w:r>
      <w:r>
        <w:rPr>
          <w:i/>
          <w:iCs/>
          <w:color w:val="555555"/>
        </w:rPr>
        <w:t>fits, and how to apply  ·  March 2026</w:t>
      </w:r>
    </w:p>
    <w:p w14:paraId="02CAA74C" w14:textId="77777777" w:rsidR="0092359F" w:rsidRDefault="00B50D86">
      <w:pPr>
        <w:keepNext/>
        <w:pBdr>
          <w:bottom w:val="single" w:sz="8" w:space="0" w:color="009CDE"/>
        </w:pBdr>
        <w:spacing w:before="260" w:after="100"/>
      </w:pPr>
      <w:r>
        <w:rPr>
          <w:b/>
          <w:bCs/>
          <w:color w:val="00243C"/>
          <w:sz w:val="26"/>
          <w:szCs w:val="26"/>
        </w:rPr>
        <w:t>What GRA I&amp;E Funding Is, and What It Is Not</w:t>
      </w:r>
    </w:p>
    <w:p w14:paraId="02CAA74D" w14:textId="77777777" w:rsidR="0092359F" w:rsidRDefault="00B50D86">
      <w:pPr>
        <w:spacing w:before="80" w:after="80"/>
      </w:pPr>
      <w:r>
        <w:rPr>
          <w:color w:val="111111"/>
        </w:rPr>
        <w:t>GRA's Innovation &amp; Entrepreneurship program exists to close the translational gap, the period after a research discovery when a technology needs development, testing, or market exploration before it's ready for outside investors, industry partners, or company formation.</w:t>
      </w:r>
    </w:p>
    <w:p w14:paraId="02CAA74E" w14:textId="77777777" w:rsidR="0092359F" w:rsidRDefault="0092359F">
      <w:pPr>
        <w:spacing w:before="60"/>
      </w:pPr>
    </w:p>
    <w:p w14:paraId="02CAA74F" w14:textId="51592FEB" w:rsidR="0092359F" w:rsidRDefault="00B50D86">
      <w:pPr>
        <w:spacing w:before="80" w:after="80"/>
      </w:pPr>
      <w:r>
        <w:rPr>
          <w:color w:val="111111"/>
        </w:rPr>
        <w:t xml:space="preserve">This is not a </w:t>
      </w:r>
      <w:r w:rsidR="002918EE">
        <w:rPr>
          <w:color w:val="111111"/>
        </w:rPr>
        <w:t>basic science</w:t>
      </w:r>
      <w:r>
        <w:rPr>
          <w:color w:val="111111"/>
        </w:rPr>
        <w:t xml:space="preserve"> grant. GRA funding does not support basic science, hypothesis-driven discovery, or preliminary data for NIH or NSF proposals. It supports the work that comes after the discovery: the experiments, prototypes, benchmarks, and customer conversations that ask whether a technology can become a product, company, or licensed solution.</w:t>
      </w:r>
    </w:p>
    <w:p w14:paraId="02CAA750" w14:textId="77777777" w:rsidR="0092359F" w:rsidRDefault="0092359F">
      <w:pPr>
        <w:spacing w:before="60"/>
      </w:pPr>
    </w:p>
    <w:p w14:paraId="02CAA751" w14:textId="77777777" w:rsidR="0092359F" w:rsidRDefault="00B50D86">
      <w:pPr>
        <w:spacing w:before="80" w:after="80"/>
      </w:pPr>
      <w:r>
        <w:rPr>
          <w:color w:val="111111"/>
        </w:rPr>
        <w:t>Basic science feeds into GRA-fundable work. The question GRA asks is: has the discovery reached a stage where a specific translational milestone can be defined, and where achieving that milestone set would materially advance the technology toward commercialization?</w:t>
      </w:r>
    </w:p>
    <w:p w14:paraId="02CAA752" w14:textId="77777777" w:rsidR="0092359F" w:rsidRDefault="0092359F">
      <w:pPr>
        <w:spacing w:before="100"/>
      </w:pPr>
    </w:p>
    <w:p w14:paraId="02CAA753" w14:textId="65902076" w:rsidR="0092359F" w:rsidRDefault="00B50D86">
      <w:pPr>
        <w:spacing w:before="80" w:after="80"/>
      </w:pPr>
      <w:r>
        <w:rPr>
          <w:i/>
          <w:iCs/>
          <w:color w:val="444444"/>
        </w:rPr>
        <w:t xml:space="preserve">The diagram below shows where GRA invests in the innovation pipeline. If your project is in the translational development or </w:t>
      </w:r>
      <w:r w:rsidR="006A1CE9">
        <w:rPr>
          <w:i/>
          <w:iCs/>
          <w:color w:val="444444"/>
        </w:rPr>
        <w:t xml:space="preserve">company </w:t>
      </w:r>
      <w:r>
        <w:rPr>
          <w:i/>
          <w:iCs/>
          <w:color w:val="444444"/>
        </w:rPr>
        <w:t>formation zone, it may be a strong fit.</w:t>
      </w:r>
    </w:p>
    <w:p w14:paraId="02CAA754" w14:textId="77777777" w:rsidR="0092359F" w:rsidRDefault="0092359F">
      <w:pPr>
        <w:spacing w:before="60"/>
      </w:pPr>
    </w:p>
    <w:p w14:paraId="02CAA756" w14:textId="3A2DAD41" w:rsidR="0092359F" w:rsidRDefault="00B50D86" w:rsidP="00BF4CBB">
      <w:pPr>
        <w:spacing w:before="120" w:after="120"/>
        <w:ind w:left="-540"/>
      </w:pPr>
      <w:r>
        <w:rPr>
          <w:noProof/>
        </w:rPr>
        <w:drawing>
          <wp:inline distT="0" distB="0" distL="0" distR="0" wp14:anchorId="02CAA7EB" wp14:editId="02CAA7EC">
            <wp:extent cx="6667500"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667500" cy="3752850"/>
                    </a:xfrm>
                    <a:prstGeom prst="rect">
                      <a:avLst/>
                    </a:prstGeom>
                  </pic:spPr>
                </pic:pic>
              </a:graphicData>
            </a:graphic>
          </wp:inline>
        </w:drawing>
      </w:r>
    </w:p>
    <w:p w14:paraId="02CAA757" w14:textId="77777777" w:rsidR="0092359F" w:rsidRDefault="00B50D86">
      <w:pPr>
        <w:keepNext/>
        <w:pBdr>
          <w:bottom w:val="single" w:sz="8" w:space="0" w:color="009CDE"/>
        </w:pBdr>
        <w:spacing w:before="260" w:after="100"/>
      </w:pPr>
      <w:r>
        <w:rPr>
          <w:b/>
          <w:bCs/>
          <w:color w:val="00243C"/>
          <w:sz w:val="26"/>
          <w:szCs w:val="26"/>
        </w:rPr>
        <w:lastRenderedPageBreak/>
        <w:t>Is My Project a Fit?</w:t>
      </w:r>
    </w:p>
    <w:p w14:paraId="02CAA758" w14:textId="653A43C1" w:rsidR="0092359F" w:rsidRDefault="00B50D86">
      <w:pPr>
        <w:spacing w:before="80" w:after="80"/>
      </w:pPr>
      <w:r>
        <w:rPr>
          <w:color w:val="111111"/>
        </w:rPr>
        <w:t xml:space="preserve">Use this checklist as a starting point. If you're uncertain on any item, your university representative is the right first call. They can help you assess fit before you invest time in </w:t>
      </w:r>
      <w:r w:rsidR="00620C1D">
        <w:rPr>
          <w:color w:val="111111"/>
        </w:rPr>
        <w:t xml:space="preserve">crafting a </w:t>
      </w:r>
      <w:r>
        <w:rPr>
          <w:color w:val="111111"/>
        </w:rPr>
        <w:t>proposal.</w:t>
      </w:r>
    </w:p>
    <w:p w14:paraId="02CAA759" w14:textId="77777777" w:rsidR="0092359F" w:rsidRDefault="0092359F">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1980"/>
        <w:gridCol w:w="1980"/>
      </w:tblGrid>
      <w:tr w:rsidR="0092359F" w14:paraId="02CAA75D" w14:textId="77777777">
        <w:trPr>
          <w:tblHeader/>
        </w:trPr>
        <w:tc>
          <w:tcPr>
            <w:tcW w:w="540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02CAA75A" w14:textId="77777777" w:rsidR="0092359F" w:rsidRDefault="00B50D86">
            <w:r>
              <w:rPr>
                <w:b/>
                <w:bCs/>
                <w:color w:val="FFFFFF"/>
                <w:sz w:val="21"/>
                <w:szCs w:val="21"/>
              </w:rPr>
              <w:t>Question</w:t>
            </w:r>
          </w:p>
        </w:tc>
        <w:tc>
          <w:tcPr>
            <w:tcW w:w="1980" w:type="dxa"/>
            <w:tcBorders>
              <w:top w:val="single" w:sz="1" w:space="0" w:color="BBCFDD"/>
              <w:left w:val="single" w:sz="1" w:space="0" w:color="BBCFDD"/>
              <w:bottom w:val="single" w:sz="1" w:space="0" w:color="BBCFDD"/>
              <w:right w:val="single" w:sz="1" w:space="0" w:color="BBCFDD"/>
            </w:tcBorders>
            <w:shd w:val="clear" w:color="auto" w:fill="2D7A00"/>
            <w:tcMar>
              <w:top w:w="80" w:type="dxa"/>
              <w:left w:w="120" w:type="dxa"/>
              <w:bottom w:w="80" w:type="dxa"/>
              <w:right w:w="120" w:type="dxa"/>
            </w:tcMar>
          </w:tcPr>
          <w:p w14:paraId="02CAA75B" w14:textId="77777777" w:rsidR="0092359F" w:rsidRDefault="00B50D86">
            <w:r>
              <w:rPr>
                <w:b/>
                <w:bCs/>
                <w:color w:val="FFFFFF"/>
                <w:sz w:val="21"/>
                <w:szCs w:val="21"/>
              </w:rPr>
              <w:t>Yes</w:t>
            </w:r>
          </w:p>
        </w:tc>
        <w:tc>
          <w:tcPr>
            <w:tcW w:w="1980" w:type="dxa"/>
            <w:tcBorders>
              <w:top w:val="single" w:sz="1" w:space="0" w:color="BBCFDD"/>
              <w:left w:val="single" w:sz="1" w:space="0" w:color="BBCFDD"/>
              <w:bottom w:val="single" w:sz="1" w:space="0" w:color="BBCFDD"/>
              <w:right w:val="single" w:sz="1" w:space="0" w:color="BBCFDD"/>
            </w:tcBorders>
            <w:shd w:val="clear" w:color="auto" w:fill="8B4513"/>
            <w:tcMar>
              <w:top w:w="80" w:type="dxa"/>
              <w:left w:w="120" w:type="dxa"/>
              <w:bottom w:w="80" w:type="dxa"/>
              <w:right w:w="120" w:type="dxa"/>
            </w:tcMar>
          </w:tcPr>
          <w:p w14:paraId="02CAA75C" w14:textId="77777777" w:rsidR="0092359F" w:rsidRDefault="00B50D86">
            <w:r>
              <w:rPr>
                <w:b/>
                <w:bCs/>
                <w:color w:val="FFFFFF"/>
                <w:sz w:val="21"/>
                <w:szCs w:val="21"/>
              </w:rPr>
              <w:t>No / Unsure</w:t>
            </w:r>
          </w:p>
        </w:tc>
      </w:tr>
      <w:tr w:rsidR="0092359F" w14:paraId="02CAA761" w14:textId="77777777">
        <w:tc>
          <w:tcPr>
            <w:tcW w:w="54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5E" w14:textId="77777777" w:rsidR="0092359F" w:rsidRDefault="00B50D86">
            <w:r>
              <w:rPr>
                <w:sz w:val="21"/>
                <w:szCs w:val="21"/>
              </w:rPr>
              <w:t>Is my technology a Georgia university-based discovery?</w:t>
            </w:r>
          </w:p>
        </w:tc>
        <w:tc>
          <w:tcPr>
            <w:tcW w:w="19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vAlign w:val="center"/>
          </w:tcPr>
          <w:p w14:paraId="02CAA75F" w14:textId="77777777" w:rsidR="0092359F" w:rsidRDefault="00B50D86">
            <w:pPr>
              <w:jc w:val="center"/>
            </w:pPr>
            <w:r>
              <w:rPr>
                <w:b/>
                <w:bCs/>
                <w:color w:val="2D7A00"/>
              </w:rPr>
              <w:t>✓</w:t>
            </w:r>
          </w:p>
        </w:tc>
        <w:tc>
          <w:tcPr>
            <w:tcW w:w="19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60" w14:textId="6FE98855" w:rsidR="0092359F" w:rsidRDefault="00E56A53">
            <w:r>
              <w:rPr>
                <w:sz w:val="21"/>
                <w:szCs w:val="21"/>
              </w:rPr>
              <w:t>Could be a fit</w:t>
            </w:r>
            <w:r w:rsidR="001404A1">
              <w:rPr>
                <w:sz w:val="21"/>
                <w:szCs w:val="21"/>
              </w:rPr>
              <w:t xml:space="preserve"> if </w:t>
            </w:r>
            <w:r>
              <w:rPr>
                <w:sz w:val="21"/>
                <w:szCs w:val="21"/>
              </w:rPr>
              <w:t>new</w:t>
            </w:r>
            <w:r w:rsidR="001404A1">
              <w:rPr>
                <w:sz w:val="21"/>
                <w:szCs w:val="21"/>
              </w:rPr>
              <w:t xml:space="preserve"> work could lead to Georgia-university-held IP</w:t>
            </w:r>
          </w:p>
        </w:tc>
      </w:tr>
      <w:tr w:rsidR="0092359F" w14:paraId="02CAA765" w14:textId="77777777">
        <w:tc>
          <w:tcPr>
            <w:tcW w:w="54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62" w14:textId="6D2011AC" w:rsidR="0092359F" w:rsidRDefault="00B50D86">
            <w:r>
              <w:rPr>
                <w:sz w:val="21"/>
                <w:szCs w:val="21"/>
              </w:rPr>
              <w:t xml:space="preserve">Does </w:t>
            </w:r>
            <w:r w:rsidR="00BE53F3">
              <w:rPr>
                <w:sz w:val="21"/>
                <w:szCs w:val="21"/>
              </w:rPr>
              <w:t xml:space="preserve">the technology </w:t>
            </w:r>
            <w:r>
              <w:rPr>
                <w:sz w:val="21"/>
                <w:szCs w:val="21"/>
              </w:rPr>
              <w:t>have IP protection or an active invention disclosure?</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vAlign w:val="center"/>
          </w:tcPr>
          <w:p w14:paraId="02CAA763" w14:textId="77777777" w:rsidR="0092359F" w:rsidRDefault="00B50D86">
            <w:pPr>
              <w:jc w:val="center"/>
            </w:pPr>
            <w:r>
              <w:rPr>
                <w:b/>
                <w:bCs/>
                <w:color w:val="2D7A00"/>
              </w:rPr>
              <w:t>✓</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64" w14:textId="77777777" w:rsidR="0092359F" w:rsidRDefault="00B50D86">
            <w:r>
              <w:rPr>
                <w:sz w:val="21"/>
                <w:szCs w:val="21"/>
              </w:rPr>
              <w:t>Talk to tech transfer before applying</w:t>
            </w:r>
          </w:p>
        </w:tc>
      </w:tr>
      <w:tr w:rsidR="0092359F" w14:paraId="02CAA769" w14:textId="77777777">
        <w:tc>
          <w:tcPr>
            <w:tcW w:w="54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66" w14:textId="0252E9CD" w:rsidR="0092359F" w:rsidRDefault="00B50D86">
            <w:r>
              <w:rPr>
                <w:sz w:val="21"/>
                <w:szCs w:val="21"/>
              </w:rPr>
              <w:t xml:space="preserve">Am I trying to move </w:t>
            </w:r>
            <w:r w:rsidR="00BE53F3">
              <w:rPr>
                <w:sz w:val="21"/>
                <w:szCs w:val="21"/>
              </w:rPr>
              <w:t xml:space="preserve">the technology </w:t>
            </w:r>
            <w:r>
              <w:rPr>
                <w:sz w:val="21"/>
                <w:szCs w:val="21"/>
              </w:rPr>
              <w:t>toward a product, company, or license?</w:t>
            </w:r>
          </w:p>
        </w:tc>
        <w:tc>
          <w:tcPr>
            <w:tcW w:w="19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vAlign w:val="center"/>
          </w:tcPr>
          <w:p w14:paraId="02CAA767" w14:textId="77777777" w:rsidR="0092359F" w:rsidRDefault="00B50D86">
            <w:pPr>
              <w:jc w:val="center"/>
            </w:pPr>
            <w:r>
              <w:rPr>
                <w:b/>
                <w:bCs/>
                <w:color w:val="2D7A00"/>
              </w:rPr>
              <w:t>✓</w:t>
            </w:r>
          </w:p>
        </w:tc>
        <w:tc>
          <w:tcPr>
            <w:tcW w:w="19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68" w14:textId="052AA42C" w:rsidR="0092359F" w:rsidRDefault="00B50D86">
            <w:r>
              <w:rPr>
                <w:sz w:val="21"/>
                <w:szCs w:val="21"/>
              </w:rPr>
              <w:t>Not the right fit. This is translational funding</w:t>
            </w:r>
          </w:p>
        </w:tc>
      </w:tr>
      <w:tr w:rsidR="0092359F" w14:paraId="02CAA76D" w14:textId="77777777">
        <w:tc>
          <w:tcPr>
            <w:tcW w:w="54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6A" w14:textId="4FE8CD2D" w:rsidR="0092359F" w:rsidRDefault="00B50D86">
            <w:r>
              <w:rPr>
                <w:sz w:val="21"/>
                <w:szCs w:val="21"/>
              </w:rPr>
              <w:t>Can I define specific milestone</w:t>
            </w:r>
            <w:r w:rsidR="006A4BCD">
              <w:rPr>
                <w:sz w:val="21"/>
                <w:szCs w:val="21"/>
              </w:rPr>
              <w:t>s</w:t>
            </w:r>
            <w:r>
              <w:rPr>
                <w:sz w:val="21"/>
                <w:szCs w:val="21"/>
              </w:rPr>
              <w:t xml:space="preserve"> the funding would achieve?</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vAlign w:val="center"/>
          </w:tcPr>
          <w:p w14:paraId="02CAA76B" w14:textId="77777777" w:rsidR="0092359F" w:rsidRDefault="00B50D86">
            <w:pPr>
              <w:jc w:val="center"/>
            </w:pPr>
            <w:r>
              <w:rPr>
                <w:b/>
                <w:bCs/>
                <w:color w:val="2D7A00"/>
              </w:rPr>
              <w:t>✓</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6C" w14:textId="6C933133" w:rsidR="0092359F" w:rsidRDefault="00B50D86">
            <w:r>
              <w:rPr>
                <w:sz w:val="21"/>
                <w:szCs w:val="21"/>
              </w:rPr>
              <w:t xml:space="preserve">Not ready yet. Work with your rep to define </w:t>
            </w:r>
            <w:r w:rsidR="003A3337">
              <w:rPr>
                <w:sz w:val="21"/>
                <w:szCs w:val="21"/>
              </w:rPr>
              <w:t>milestones</w:t>
            </w:r>
          </w:p>
        </w:tc>
      </w:tr>
      <w:tr w:rsidR="0092359F" w14:paraId="02CAA771" w14:textId="77777777">
        <w:tc>
          <w:tcPr>
            <w:tcW w:w="54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6E" w14:textId="77777777" w:rsidR="0092359F" w:rsidRDefault="00B50D86">
            <w:r>
              <w:rPr>
                <w:sz w:val="21"/>
                <w:szCs w:val="21"/>
              </w:rPr>
              <w:t>Is the work I'm proposing distinct from my NIH/NSF research aims?</w:t>
            </w:r>
          </w:p>
        </w:tc>
        <w:tc>
          <w:tcPr>
            <w:tcW w:w="19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vAlign w:val="center"/>
          </w:tcPr>
          <w:p w14:paraId="02CAA76F" w14:textId="77777777" w:rsidR="0092359F" w:rsidRDefault="00B50D86">
            <w:pPr>
              <w:jc w:val="center"/>
            </w:pPr>
            <w:r>
              <w:rPr>
                <w:b/>
                <w:bCs/>
                <w:color w:val="2D7A00"/>
              </w:rPr>
              <w:t>✓</w:t>
            </w:r>
          </w:p>
        </w:tc>
        <w:tc>
          <w:tcPr>
            <w:tcW w:w="19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70" w14:textId="65D3576E" w:rsidR="0092359F" w:rsidRDefault="00B50D86">
            <w:r>
              <w:rPr>
                <w:sz w:val="21"/>
                <w:szCs w:val="21"/>
              </w:rPr>
              <w:t xml:space="preserve">GRA </w:t>
            </w:r>
            <w:r w:rsidR="00343D35">
              <w:rPr>
                <w:sz w:val="21"/>
                <w:szCs w:val="21"/>
              </w:rPr>
              <w:t xml:space="preserve">does not </w:t>
            </w:r>
            <w:r>
              <w:rPr>
                <w:sz w:val="21"/>
                <w:szCs w:val="21"/>
              </w:rPr>
              <w:t>fund basic research or NIH/NSF preliminary data</w:t>
            </w:r>
          </w:p>
        </w:tc>
      </w:tr>
      <w:tr w:rsidR="0092359F" w14:paraId="02CAA775" w14:textId="77777777">
        <w:tc>
          <w:tcPr>
            <w:tcW w:w="54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72" w14:textId="24CFC512" w:rsidR="0092359F" w:rsidRDefault="00B50D86">
            <w:r>
              <w:rPr>
                <w:sz w:val="21"/>
                <w:szCs w:val="21"/>
              </w:rPr>
              <w:t>Would the milestone result</w:t>
            </w:r>
            <w:r w:rsidR="003A3337">
              <w:rPr>
                <w:sz w:val="21"/>
                <w:szCs w:val="21"/>
              </w:rPr>
              <w:t>s</w:t>
            </w:r>
            <w:r>
              <w:rPr>
                <w:sz w:val="21"/>
                <w:szCs w:val="21"/>
              </w:rPr>
              <w:t xml:space="preserve"> tell an investor or </w:t>
            </w:r>
            <w:r w:rsidR="003400A6">
              <w:rPr>
                <w:sz w:val="21"/>
                <w:szCs w:val="21"/>
              </w:rPr>
              <w:t xml:space="preserve">industry/commercial </w:t>
            </w:r>
            <w:r>
              <w:rPr>
                <w:sz w:val="21"/>
                <w:szCs w:val="21"/>
              </w:rPr>
              <w:t>partner something meaningful?</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vAlign w:val="center"/>
          </w:tcPr>
          <w:p w14:paraId="02CAA773" w14:textId="77777777" w:rsidR="0092359F" w:rsidRDefault="00B50D86">
            <w:pPr>
              <w:jc w:val="center"/>
            </w:pPr>
            <w:r>
              <w:rPr>
                <w:b/>
                <w:bCs/>
                <w:color w:val="2D7A00"/>
              </w:rPr>
              <w:t>✓</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74" w14:textId="77777777" w:rsidR="0092359F" w:rsidRDefault="00B50D86">
            <w:r>
              <w:rPr>
                <w:sz w:val="21"/>
                <w:szCs w:val="21"/>
              </w:rPr>
              <w:t>Proposal needs stronger commercial framing</w:t>
            </w:r>
          </w:p>
        </w:tc>
      </w:tr>
      <w:tr w:rsidR="009F54EE" w14:paraId="2318C17D" w14:textId="77777777">
        <w:tc>
          <w:tcPr>
            <w:tcW w:w="54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7C200B95" w14:textId="2F9D4AF6" w:rsidR="009F54EE" w:rsidRDefault="009F54EE">
            <w:pPr>
              <w:rPr>
                <w:sz w:val="21"/>
                <w:szCs w:val="21"/>
              </w:rPr>
            </w:pPr>
            <w:r>
              <w:rPr>
                <w:sz w:val="21"/>
                <w:szCs w:val="21"/>
              </w:rPr>
              <w:t>Is my technology better, faster, cheaper, stronger than the current gold-standard?</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vAlign w:val="center"/>
          </w:tcPr>
          <w:p w14:paraId="746958F3" w14:textId="45AFD673" w:rsidR="009F54EE" w:rsidRDefault="009F54EE">
            <w:pPr>
              <w:jc w:val="center"/>
              <w:rPr>
                <w:b/>
                <w:bCs/>
                <w:color w:val="2D7A00"/>
              </w:rPr>
            </w:pPr>
            <w:r>
              <w:rPr>
                <w:b/>
                <w:bCs/>
                <w:color w:val="2D7A00"/>
              </w:rPr>
              <w:t>✓</w:t>
            </w:r>
          </w:p>
        </w:tc>
        <w:tc>
          <w:tcPr>
            <w:tcW w:w="19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8864BDB" w14:textId="568B751F" w:rsidR="009F54EE" w:rsidRDefault="00A17CD1">
            <w:pPr>
              <w:rPr>
                <w:sz w:val="21"/>
                <w:szCs w:val="21"/>
              </w:rPr>
            </w:pPr>
            <w:r>
              <w:rPr>
                <w:sz w:val="21"/>
                <w:szCs w:val="21"/>
              </w:rPr>
              <w:t>Proposal should be able to articulate this</w:t>
            </w:r>
          </w:p>
        </w:tc>
      </w:tr>
    </w:tbl>
    <w:p w14:paraId="02CAA776" w14:textId="77777777" w:rsidR="0092359F" w:rsidRDefault="0092359F">
      <w:pPr>
        <w:spacing w:before="100"/>
      </w:pPr>
    </w:p>
    <w:p w14:paraId="02CAA777" w14:textId="77777777" w:rsidR="0092359F" w:rsidRDefault="00B50D86">
      <w:pPr>
        <w:spacing w:before="80" w:after="80"/>
        <w:ind w:left="180" w:right="180"/>
      </w:pPr>
      <w:r>
        <w:rPr>
          <w:i/>
          <w:iCs/>
          <w:color w:val="444444"/>
          <w:sz w:val="20"/>
          <w:szCs w:val="20"/>
        </w:rPr>
        <w:t>GRA supports technologies across all domains: therapeutics, diagnostics, agricultural technology, software platforms, advanced materials, engineering systems, and more. The program is sector-agnostic. What matters is whether the work is aimed at real-world use.</w:t>
      </w:r>
    </w:p>
    <w:p w14:paraId="02CAA778" w14:textId="77777777" w:rsidR="0092359F" w:rsidRDefault="00B50D86">
      <w:pPr>
        <w:keepNext/>
        <w:pBdr>
          <w:bottom w:val="single" w:sz="8" w:space="0" w:color="009CDE"/>
        </w:pBdr>
        <w:spacing w:before="260" w:after="100"/>
      </w:pPr>
      <w:r>
        <w:rPr>
          <w:b/>
          <w:bCs/>
          <w:color w:val="00243C"/>
          <w:sz w:val="26"/>
          <w:szCs w:val="26"/>
        </w:rPr>
        <w:t>The Two Grant Types: Which One Fits Your Project?</w:t>
      </w:r>
    </w:p>
    <w:p w14:paraId="02CAA779" w14:textId="70FB28FD" w:rsidR="0092359F" w:rsidRDefault="00B50D86">
      <w:pPr>
        <w:spacing w:before="80" w:after="80"/>
      </w:pPr>
      <w:r>
        <w:rPr>
          <w:color w:val="111111"/>
        </w:rPr>
        <w:t xml:space="preserve">GRA offers two grant types. They are not </w:t>
      </w:r>
      <w:r w:rsidR="007A0E2B">
        <w:rPr>
          <w:color w:val="111111"/>
        </w:rPr>
        <w:t xml:space="preserve">necessarily </w:t>
      </w:r>
      <w:r>
        <w:rPr>
          <w:color w:val="111111"/>
        </w:rPr>
        <w:t>sequential. You do not have to start with an Exploratory Grant. Choose based on where your project actually is, not on a prescribed path.</w:t>
      </w:r>
    </w:p>
    <w:p w14:paraId="02CAA77A" w14:textId="77777777" w:rsidR="0092359F" w:rsidRDefault="0092359F">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92359F" w14:paraId="02CAA77E" w14:textId="77777777">
        <w:trPr>
          <w:tblHeader/>
        </w:trPr>
        <w:tc>
          <w:tcPr>
            <w:tcW w:w="200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02CAA77B" w14:textId="77777777" w:rsidR="0092359F" w:rsidRDefault="0092359F"/>
        </w:tc>
        <w:tc>
          <w:tcPr>
            <w:tcW w:w="3680" w:type="dxa"/>
            <w:tcBorders>
              <w:top w:val="single" w:sz="1" w:space="0" w:color="BBCFDD"/>
              <w:left w:val="single" w:sz="1" w:space="0" w:color="BBCFDD"/>
              <w:bottom w:val="single" w:sz="1" w:space="0" w:color="BBCFDD"/>
              <w:right w:val="single" w:sz="1" w:space="0" w:color="BBCFDD"/>
            </w:tcBorders>
            <w:shd w:val="clear" w:color="auto" w:fill="009CDE"/>
            <w:tcMar>
              <w:top w:w="80" w:type="dxa"/>
              <w:left w:w="120" w:type="dxa"/>
              <w:bottom w:w="80" w:type="dxa"/>
              <w:right w:w="120" w:type="dxa"/>
            </w:tcMar>
          </w:tcPr>
          <w:p w14:paraId="02CAA77C" w14:textId="77777777" w:rsidR="0092359F" w:rsidRDefault="00B50D86">
            <w:r>
              <w:rPr>
                <w:b/>
                <w:bCs/>
                <w:color w:val="FFFFFF"/>
                <w:sz w:val="21"/>
                <w:szCs w:val="21"/>
              </w:rPr>
              <w:t>Exploratory Grant</w:t>
            </w:r>
          </w:p>
        </w:tc>
        <w:tc>
          <w:tcPr>
            <w:tcW w:w="368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02CAA77D" w14:textId="77777777" w:rsidR="0092359F" w:rsidRDefault="00B50D86">
            <w:r>
              <w:rPr>
                <w:b/>
                <w:bCs/>
                <w:color w:val="FFFFFF"/>
                <w:sz w:val="21"/>
                <w:szCs w:val="21"/>
              </w:rPr>
              <w:t>Development Grant</w:t>
            </w:r>
          </w:p>
        </w:tc>
      </w:tr>
      <w:tr w:rsidR="0092359F" w14:paraId="02CAA782" w14:textId="77777777">
        <w:tc>
          <w:tcPr>
            <w:tcW w:w="2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7F" w14:textId="77777777" w:rsidR="0092359F" w:rsidRDefault="00B50D86">
            <w:pPr>
              <w:spacing w:before="50" w:after="50"/>
            </w:pPr>
            <w:r>
              <w:rPr>
                <w:b/>
                <w:bCs/>
                <w:color w:val="111111"/>
                <w:sz w:val="20"/>
                <w:szCs w:val="20"/>
              </w:rPr>
              <w:t>Amount</w:t>
            </w:r>
          </w:p>
        </w:tc>
        <w:tc>
          <w:tcPr>
            <w:tcW w:w="36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80" w14:textId="77777777" w:rsidR="0092359F" w:rsidRDefault="00B50D86">
            <w:r>
              <w:rPr>
                <w:sz w:val="21"/>
                <w:szCs w:val="21"/>
              </w:rPr>
              <w:t>Up to $10,000</w:t>
            </w:r>
          </w:p>
        </w:tc>
        <w:tc>
          <w:tcPr>
            <w:tcW w:w="36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81" w14:textId="77777777" w:rsidR="0092359F" w:rsidRDefault="00B50D86">
            <w:r>
              <w:rPr>
                <w:sz w:val="21"/>
                <w:szCs w:val="21"/>
              </w:rPr>
              <w:t>$10,000 – $250,000</w:t>
            </w:r>
          </w:p>
        </w:tc>
      </w:tr>
      <w:tr w:rsidR="0092359F" w14:paraId="02CAA786" w14:textId="77777777">
        <w:tc>
          <w:tcPr>
            <w:tcW w:w="20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83" w14:textId="77777777" w:rsidR="0092359F" w:rsidRDefault="00B50D86">
            <w:pPr>
              <w:spacing w:before="50" w:after="50"/>
            </w:pPr>
            <w:r>
              <w:rPr>
                <w:b/>
                <w:bCs/>
                <w:color w:val="111111"/>
                <w:sz w:val="20"/>
                <w:szCs w:val="20"/>
              </w:rPr>
              <w:t>Purpose</w:t>
            </w:r>
          </w:p>
        </w:tc>
        <w:tc>
          <w:tcPr>
            <w:tcW w:w="36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84" w14:textId="77777777" w:rsidR="0092359F" w:rsidRDefault="00B50D86">
            <w:r>
              <w:rPr>
                <w:sz w:val="21"/>
                <w:szCs w:val="21"/>
              </w:rPr>
              <w:t>Answer a focused go/no-go question before committing to a full development effort.</w:t>
            </w:r>
          </w:p>
        </w:tc>
        <w:tc>
          <w:tcPr>
            <w:tcW w:w="36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85" w14:textId="77777777" w:rsidR="0092359F" w:rsidRDefault="00B50D86">
            <w:r>
              <w:rPr>
                <w:sz w:val="21"/>
                <w:szCs w:val="21"/>
              </w:rPr>
              <w:t>Advance a technology toward commercialization or startup formation through meaningful, milestone-driven work.</w:t>
            </w:r>
          </w:p>
        </w:tc>
      </w:tr>
      <w:tr w:rsidR="0092359F" w14:paraId="02CAA78A" w14:textId="77777777">
        <w:tc>
          <w:tcPr>
            <w:tcW w:w="2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87" w14:textId="77777777" w:rsidR="0092359F" w:rsidRDefault="00B50D86">
            <w:pPr>
              <w:spacing w:before="50" w:after="50"/>
            </w:pPr>
            <w:r>
              <w:rPr>
                <w:b/>
                <w:bCs/>
                <w:color w:val="111111"/>
                <w:sz w:val="20"/>
                <w:szCs w:val="20"/>
              </w:rPr>
              <w:t>Submission</w:t>
            </w:r>
          </w:p>
        </w:tc>
        <w:tc>
          <w:tcPr>
            <w:tcW w:w="36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88" w14:textId="77777777" w:rsidR="0092359F" w:rsidRDefault="00B50D86">
            <w:r>
              <w:rPr>
                <w:sz w:val="21"/>
                <w:szCs w:val="21"/>
              </w:rPr>
              <w:t>Rolling submissions, reviewed as received. Decisions typically within two weeks.</w:t>
            </w:r>
          </w:p>
        </w:tc>
        <w:tc>
          <w:tcPr>
            <w:tcW w:w="36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89" w14:textId="77777777" w:rsidR="0092359F" w:rsidRDefault="00B50D86">
            <w:r>
              <w:rPr>
                <w:sz w:val="21"/>
                <w:szCs w:val="21"/>
              </w:rPr>
              <w:t>6 fixed cycles per year. Submissions accepted anytime; cutoff dates determine review timing.</w:t>
            </w:r>
          </w:p>
        </w:tc>
      </w:tr>
      <w:tr w:rsidR="0092359F" w14:paraId="02CAA78E" w14:textId="77777777">
        <w:tc>
          <w:tcPr>
            <w:tcW w:w="20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8B" w14:textId="77777777" w:rsidR="0092359F" w:rsidRDefault="00B50D86">
            <w:pPr>
              <w:spacing w:before="50" w:after="50"/>
            </w:pPr>
            <w:r>
              <w:rPr>
                <w:b/>
                <w:bCs/>
                <w:color w:val="111111"/>
                <w:sz w:val="20"/>
                <w:szCs w:val="20"/>
              </w:rPr>
              <w:t>Use it when...</w:t>
            </w:r>
          </w:p>
        </w:tc>
        <w:tc>
          <w:tcPr>
            <w:tcW w:w="36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8C" w14:textId="77777777" w:rsidR="0092359F" w:rsidRDefault="00B50D86">
            <w:r>
              <w:rPr>
                <w:sz w:val="21"/>
                <w:szCs w:val="21"/>
              </w:rPr>
              <w:t>You have a key uncertainty (technical or market) that a small, targeted experiment can resolve.</w:t>
            </w:r>
          </w:p>
        </w:tc>
        <w:tc>
          <w:tcPr>
            <w:tcW w:w="36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8D" w14:textId="77777777" w:rsidR="0092359F" w:rsidRDefault="00B50D86">
            <w:r>
              <w:rPr>
                <w:sz w:val="21"/>
                <w:szCs w:val="21"/>
              </w:rPr>
              <w:t>You have a clear set of milestones that will materially de-risk the project for the next investor, partner, or funding source.</w:t>
            </w:r>
          </w:p>
        </w:tc>
      </w:tr>
      <w:tr w:rsidR="0092359F" w14:paraId="02CAA792" w14:textId="77777777">
        <w:tc>
          <w:tcPr>
            <w:tcW w:w="2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8F" w14:textId="77777777" w:rsidR="0092359F" w:rsidRDefault="00B50D86">
            <w:pPr>
              <w:spacing w:before="50" w:after="50"/>
            </w:pPr>
            <w:r>
              <w:rPr>
                <w:b/>
                <w:bCs/>
                <w:color w:val="111111"/>
                <w:sz w:val="20"/>
                <w:szCs w:val="20"/>
              </w:rPr>
              <w:t>Skip it when...</w:t>
            </w:r>
          </w:p>
        </w:tc>
        <w:tc>
          <w:tcPr>
            <w:tcW w:w="36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90" w14:textId="77777777" w:rsidR="0092359F" w:rsidRDefault="00B50D86">
            <w:r>
              <w:rPr>
                <w:sz w:val="21"/>
                <w:szCs w:val="21"/>
              </w:rPr>
              <w:t>The project already has validated signal. Go straight to Development.</w:t>
            </w:r>
          </w:p>
        </w:tc>
        <w:tc>
          <w:tcPr>
            <w:tcW w:w="36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91" w14:textId="15FF54A6" w:rsidR="0092359F" w:rsidRDefault="00B50D86">
            <w:r>
              <w:rPr>
                <w:sz w:val="21"/>
                <w:szCs w:val="21"/>
              </w:rPr>
              <w:t xml:space="preserve">You don't yet know the key question. Start with </w:t>
            </w:r>
            <w:r w:rsidR="000E51A9">
              <w:rPr>
                <w:sz w:val="21"/>
                <w:szCs w:val="21"/>
              </w:rPr>
              <w:t>Exploratory or</w:t>
            </w:r>
            <w:r>
              <w:rPr>
                <w:sz w:val="21"/>
                <w:szCs w:val="21"/>
              </w:rPr>
              <w:t xml:space="preserve"> clarify with your university rep first.</w:t>
            </w:r>
          </w:p>
        </w:tc>
      </w:tr>
      <w:tr w:rsidR="0092359F" w14:paraId="02CAA796" w14:textId="77777777">
        <w:tc>
          <w:tcPr>
            <w:tcW w:w="20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93" w14:textId="77777777" w:rsidR="0092359F" w:rsidRDefault="00B50D86">
            <w:pPr>
              <w:spacing w:before="50" w:after="50"/>
            </w:pPr>
            <w:r>
              <w:rPr>
                <w:b/>
                <w:bCs/>
                <w:color w:val="111111"/>
                <w:sz w:val="20"/>
                <w:szCs w:val="20"/>
              </w:rPr>
              <w:t>Note</w:t>
            </w:r>
          </w:p>
        </w:tc>
        <w:tc>
          <w:tcPr>
            <w:tcW w:w="36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94" w14:textId="77CDF1FF" w:rsidR="0092359F" w:rsidRDefault="00B50D86">
            <w:r>
              <w:rPr>
                <w:sz w:val="21"/>
                <w:szCs w:val="21"/>
              </w:rPr>
              <w:t>Salary support is almost never appropriate for a $10K grant. Think: vendor purchase, reagents, customer interviews</w:t>
            </w:r>
            <w:r w:rsidR="00B936E6">
              <w:rPr>
                <w:sz w:val="21"/>
                <w:szCs w:val="21"/>
              </w:rPr>
              <w:t xml:space="preserve"> potentially at a</w:t>
            </w:r>
            <w:r>
              <w:rPr>
                <w:sz w:val="21"/>
                <w:szCs w:val="21"/>
              </w:rPr>
              <w:t xml:space="preserve"> trade show.</w:t>
            </w:r>
          </w:p>
        </w:tc>
        <w:tc>
          <w:tcPr>
            <w:tcW w:w="36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95" w14:textId="77777777" w:rsidR="0092359F" w:rsidRDefault="00B50D86">
            <w:r>
              <w:rPr>
                <w:sz w:val="21"/>
                <w:szCs w:val="21"/>
              </w:rPr>
              <w:t>Budget should be driven by your milestone, not the maximum. Proposals well under $250K are common and appropriate.</w:t>
            </w:r>
          </w:p>
        </w:tc>
      </w:tr>
    </w:tbl>
    <w:p w14:paraId="02CAA797" w14:textId="77777777" w:rsidR="0092359F" w:rsidRDefault="0092359F">
      <w:pPr>
        <w:spacing w:before="100"/>
      </w:pPr>
    </w:p>
    <w:p w14:paraId="02CAA798" w14:textId="77777777" w:rsidR="0092359F" w:rsidRDefault="00B50D86" w:rsidP="00D12BE6">
      <w:pPr>
        <w:spacing w:before="120" w:after="120"/>
        <w:ind w:left="-540"/>
      </w:pPr>
      <w:r>
        <w:rPr>
          <w:noProof/>
        </w:rPr>
        <w:drawing>
          <wp:inline distT="0" distB="0" distL="0" distR="0" wp14:anchorId="02CAA7ED" wp14:editId="02CAA7EE">
            <wp:extent cx="6667500" cy="3752850"/>
            <wp:effectExtent l="0" t="0" r="0" b="0"/>
            <wp:docPr id="779629377" name="Picture 77962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667500" cy="3752850"/>
                    </a:xfrm>
                    <a:prstGeom prst="rect">
                      <a:avLst/>
                    </a:prstGeom>
                  </pic:spPr>
                </pic:pic>
              </a:graphicData>
            </a:graphic>
          </wp:inline>
        </w:drawing>
      </w:r>
    </w:p>
    <w:p w14:paraId="02CAA799" w14:textId="77777777" w:rsidR="0092359F" w:rsidRDefault="0092359F">
      <w:pPr>
        <w:spacing w:before="60"/>
      </w:pPr>
    </w:p>
    <w:p w14:paraId="02CAA79A" w14:textId="77777777" w:rsidR="0092359F" w:rsidRDefault="00B50D86">
      <w:pPr>
        <w:spacing w:before="80" w:after="80"/>
        <w:ind w:left="180" w:right="180"/>
      </w:pPr>
      <w:r>
        <w:rPr>
          <w:i/>
          <w:iCs/>
          <w:color w:val="444444"/>
          <w:sz w:val="20"/>
          <w:szCs w:val="20"/>
        </w:rPr>
        <w:t>Projects may receive multiple Development Grants over time, each tied to a distinct set of meaningful milestones. There is no hard lifetime cap, but GRA evaluates whether continued investment makes sense relative to the project's progress toward outside capital or company formation.</w:t>
      </w:r>
    </w:p>
    <w:p w14:paraId="02CAA79B" w14:textId="77777777" w:rsidR="0092359F" w:rsidRDefault="0092359F">
      <w:pPr>
        <w:spacing w:before="160"/>
      </w:pPr>
    </w:p>
    <w:p w14:paraId="02CAA79C" w14:textId="77777777" w:rsidR="0092359F" w:rsidRDefault="00B50D86">
      <w:pPr>
        <w:keepNext/>
        <w:pBdr>
          <w:bottom w:val="single" w:sz="8" w:space="0" w:color="009CDE"/>
        </w:pBdr>
        <w:spacing w:before="260" w:after="100"/>
      </w:pPr>
      <w:r>
        <w:rPr>
          <w:b/>
          <w:bCs/>
          <w:color w:val="00243C"/>
          <w:sz w:val="26"/>
          <w:szCs w:val="26"/>
        </w:rPr>
        <w:t>What GRA Funding Cannot Support</w:t>
      </w:r>
    </w:p>
    <w:p w14:paraId="02CAA79D" w14:textId="77777777" w:rsidR="0092359F" w:rsidRDefault="00B50D86">
      <w:pPr>
        <w:spacing w:before="80" w:after="80"/>
      </w:pPr>
      <w:r>
        <w:rPr>
          <w:color w:val="111111"/>
        </w:rPr>
        <w:t>Grant funds are awarded to the university and must support work that creates or enhances university-controlled intellectual property. The following uses are not permitted:</w:t>
      </w:r>
    </w:p>
    <w:p w14:paraId="02CAA79E" w14:textId="77777777" w:rsidR="0092359F" w:rsidRDefault="0092359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92359F" w14:paraId="02CAA7A1" w14:textId="77777777">
        <w:trPr>
          <w:tblHeader/>
        </w:trPr>
        <w:tc>
          <w:tcPr>
            <w:tcW w:w="300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02CAA79F" w14:textId="77777777" w:rsidR="0092359F" w:rsidRDefault="00B50D86">
            <w:r>
              <w:rPr>
                <w:b/>
                <w:bCs/>
                <w:color w:val="FFFFFF"/>
                <w:sz w:val="21"/>
                <w:szCs w:val="21"/>
              </w:rPr>
              <w:t>Not covered</w:t>
            </w:r>
          </w:p>
        </w:tc>
        <w:tc>
          <w:tcPr>
            <w:tcW w:w="636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02CAA7A0" w14:textId="77777777" w:rsidR="0092359F" w:rsidRDefault="00B50D86">
            <w:r>
              <w:rPr>
                <w:b/>
                <w:bCs/>
                <w:color w:val="FFFFFF"/>
                <w:sz w:val="21"/>
                <w:szCs w:val="21"/>
              </w:rPr>
              <w:t>Why</w:t>
            </w:r>
          </w:p>
        </w:tc>
      </w:tr>
      <w:tr w:rsidR="0092359F" w14:paraId="02CAA7A4"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A2" w14:textId="77777777" w:rsidR="0092359F" w:rsidRDefault="00B50D86">
            <w:r>
              <w:rPr>
                <w:b/>
                <w:bCs/>
                <w:color w:val="00243C"/>
                <w:sz w:val="21"/>
                <w:szCs w:val="21"/>
              </w:rPr>
              <w:t>Basic or exploratory research</w:t>
            </w:r>
          </w:p>
        </w:tc>
        <w:tc>
          <w:tcPr>
            <w:tcW w:w="63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A3" w14:textId="11205903" w:rsidR="0092359F" w:rsidRDefault="00B50D86">
            <w:r>
              <w:rPr>
                <w:sz w:val="21"/>
                <w:szCs w:val="21"/>
              </w:rPr>
              <w:t>GRA funds translational work aimed at commercialization. Proposals designed to generate preliminary data for NIH, NSF, or DoD</w:t>
            </w:r>
            <w:r w:rsidR="00CA5176">
              <w:rPr>
                <w:sz w:val="21"/>
                <w:szCs w:val="21"/>
              </w:rPr>
              <w:t>/</w:t>
            </w:r>
            <w:proofErr w:type="spellStart"/>
            <w:r w:rsidR="00CA5176">
              <w:rPr>
                <w:sz w:val="21"/>
                <w:szCs w:val="21"/>
              </w:rPr>
              <w:t>DoW</w:t>
            </w:r>
            <w:proofErr w:type="spellEnd"/>
            <w:r>
              <w:rPr>
                <w:sz w:val="21"/>
                <w:szCs w:val="21"/>
              </w:rPr>
              <w:t xml:space="preserve"> grants are not eligible.</w:t>
            </w:r>
          </w:p>
        </w:tc>
      </w:tr>
      <w:tr w:rsidR="0092359F" w14:paraId="02CAA7A7" w14:textId="77777777">
        <w:tc>
          <w:tcPr>
            <w:tcW w:w="30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A5" w14:textId="77777777" w:rsidR="0092359F" w:rsidRDefault="00B50D86">
            <w:r>
              <w:rPr>
                <w:b/>
                <w:bCs/>
                <w:color w:val="00243C"/>
                <w:sz w:val="21"/>
                <w:szCs w:val="21"/>
              </w:rPr>
              <w:t>Student tuition</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A6" w14:textId="77777777" w:rsidR="0092359F" w:rsidRDefault="00B50D86">
            <w:r>
              <w:rPr>
                <w:sz w:val="21"/>
                <w:szCs w:val="21"/>
              </w:rPr>
              <w:t>Tuition is not a permitted use under Georgia state funding rules.</w:t>
            </w:r>
          </w:p>
        </w:tc>
      </w:tr>
      <w:tr w:rsidR="0092359F" w14:paraId="02CAA7AA"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A8" w14:textId="77777777" w:rsidR="0092359F" w:rsidRDefault="00B50D86">
            <w:r>
              <w:rPr>
                <w:b/>
                <w:bCs/>
                <w:color w:val="00243C"/>
                <w:sz w:val="21"/>
                <w:szCs w:val="21"/>
              </w:rPr>
              <w:t>Standard lab equipment</w:t>
            </w:r>
          </w:p>
        </w:tc>
        <w:tc>
          <w:tcPr>
            <w:tcW w:w="63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A9" w14:textId="77777777" w:rsidR="0092359F" w:rsidRDefault="00B50D86">
            <w:r>
              <w:rPr>
                <w:sz w:val="21"/>
                <w:szCs w:val="21"/>
              </w:rPr>
              <w:t>Pipettes, centrifuges, balances, and similar items are not covered. Capital equipment (as defined by your university) is also excluded.</w:t>
            </w:r>
          </w:p>
        </w:tc>
      </w:tr>
      <w:tr w:rsidR="0092359F" w14:paraId="02CAA7AD" w14:textId="77777777">
        <w:tc>
          <w:tcPr>
            <w:tcW w:w="30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AB" w14:textId="77777777" w:rsidR="0092359F" w:rsidRDefault="00B50D86">
            <w:r>
              <w:rPr>
                <w:b/>
                <w:bCs/>
                <w:color w:val="00243C"/>
                <w:sz w:val="21"/>
                <w:szCs w:val="21"/>
              </w:rPr>
              <w:t>Patent prosecution</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AC" w14:textId="77777777" w:rsidR="0092359F" w:rsidRDefault="00B50D86">
            <w:r>
              <w:rPr>
                <w:sz w:val="21"/>
                <w:szCs w:val="21"/>
              </w:rPr>
              <w:t>Legal fees for patent filing or incorporation are not permitted. Work with your tech transfer office on these costs.</w:t>
            </w:r>
          </w:p>
        </w:tc>
      </w:tr>
      <w:tr w:rsidR="0092359F" w14:paraId="02CAA7B0"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AE" w14:textId="77777777" w:rsidR="0092359F" w:rsidRDefault="00B50D86">
            <w:r>
              <w:rPr>
                <w:b/>
                <w:bCs/>
                <w:color w:val="00243C"/>
                <w:sz w:val="21"/>
                <w:szCs w:val="21"/>
              </w:rPr>
              <w:t>Salary for equity holders</w:t>
            </w:r>
          </w:p>
        </w:tc>
        <w:tc>
          <w:tcPr>
            <w:tcW w:w="63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AF" w14:textId="54041762" w:rsidR="0092359F" w:rsidRDefault="00B50D86">
            <w:r>
              <w:rPr>
                <w:sz w:val="21"/>
                <w:szCs w:val="21"/>
              </w:rPr>
              <w:t>Founders, equity holders, option/warrant holders, or company employees may not be compensated from GRA grant funds.</w:t>
            </w:r>
            <w:r w:rsidR="00572EBF">
              <w:rPr>
                <w:sz w:val="21"/>
                <w:szCs w:val="21"/>
              </w:rPr>
              <w:t xml:space="preserve"> Some Universities require minimum effort on all grants</w:t>
            </w:r>
            <w:r w:rsidR="00C166EA">
              <w:rPr>
                <w:sz w:val="21"/>
                <w:szCs w:val="21"/>
              </w:rPr>
              <w:t xml:space="preserve"> from the listed PI, GRA is aware and works with universities on these specific cases.</w:t>
            </w:r>
          </w:p>
        </w:tc>
      </w:tr>
      <w:tr w:rsidR="0092359F" w14:paraId="02CAA7B3" w14:textId="77777777">
        <w:tc>
          <w:tcPr>
            <w:tcW w:w="30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B1" w14:textId="77777777" w:rsidR="0092359F" w:rsidRDefault="00B50D86">
            <w:r>
              <w:rPr>
                <w:b/>
                <w:bCs/>
                <w:color w:val="00243C"/>
                <w:sz w:val="21"/>
                <w:szCs w:val="21"/>
              </w:rPr>
              <w:t>Company operations</w:t>
            </w:r>
          </w:p>
        </w:tc>
        <w:tc>
          <w:tcPr>
            <w:tcW w:w="636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2CAA7B2" w14:textId="32C9B814" w:rsidR="0092359F" w:rsidRDefault="00B50D86">
            <w:r>
              <w:rPr>
                <w:sz w:val="21"/>
                <w:szCs w:val="21"/>
              </w:rPr>
              <w:t>Marketing, branding, website development, business plan consulting, and similar company-</w:t>
            </w:r>
            <w:r w:rsidR="00CC04A9">
              <w:rPr>
                <w:sz w:val="21"/>
                <w:szCs w:val="21"/>
              </w:rPr>
              <w:t xml:space="preserve">beneficial </w:t>
            </w:r>
            <w:r>
              <w:rPr>
                <w:sz w:val="21"/>
                <w:szCs w:val="21"/>
              </w:rPr>
              <w:t>activities are not eligible.</w:t>
            </w:r>
          </w:p>
        </w:tc>
      </w:tr>
      <w:tr w:rsidR="0092359F" w14:paraId="02CAA7B6" w14:textId="77777777">
        <w:tc>
          <w:tcPr>
            <w:tcW w:w="30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B4" w14:textId="77777777" w:rsidR="0092359F" w:rsidRDefault="00B50D86">
            <w:r>
              <w:rPr>
                <w:b/>
                <w:bCs/>
                <w:color w:val="00243C"/>
                <w:sz w:val="21"/>
                <w:szCs w:val="21"/>
              </w:rPr>
              <w:t>Academic travel</w:t>
            </w:r>
          </w:p>
        </w:tc>
        <w:tc>
          <w:tcPr>
            <w:tcW w:w="636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2CAA7B5" w14:textId="7FA79514" w:rsidR="0092359F" w:rsidRDefault="00B50D86">
            <w:r>
              <w:rPr>
                <w:sz w:val="21"/>
                <w:szCs w:val="21"/>
              </w:rPr>
              <w:t xml:space="preserve">Travel solely to present research findings at conferences is not covered. Customer discovery travel or trade show interviews </w:t>
            </w:r>
            <w:r w:rsidR="00CC04A9">
              <w:rPr>
                <w:sz w:val="21"/>
                <w:szCs w:val="21"/>
              </w:rPr>
              <w:t xml:space="preserve">may </w:t>
            </w:r>
            <w:r>
              <w:rPr>
                <w:sz w:val="21"/>
                <w:szCs w:val="21"/>
              </w:rPr>
              <w:t>be.</w:t>
            </w:r>
          </w:p>
        </w:tc>
      </w:tr>
    </w:tbl>
    <w:p w14:paraId="02CAA7B7" w14:textId="77777777" w:rsidR="0092359F" w:rsidRDefault="0092359F">
      <w:pPr>
        <w:spacing w:before="80"/>
      </w:pPr>
    </w:p>
    <w:p w14:paraId="02CAA7B8" w14:textId="77777777" w:rsidR="0092359F" w:rsidRDefault="00B50D86">
      <w:pPr>
        <w:spacing w:before="80" w:after="80"/>
        <w:ind w:left="180" w:right="180"/>
      </w:pPr>
      <w:r>
        <w:rPr>
          <w:i/>
          <w:iCs/>
          <w:color w:val="444444"/>
          <w:sz w:val="20"/>
          <w:szCs w:val="20"/>
        </w:rPr>
        <w:t>If you're unsure whether a specific budget item is eligible, ask your university representative before building your proposal around it. Catching this early avoids delays at review.</w:t>
      </w:r>
    </w:p>
    <w:p w14:paraId="02CAA7B9" w14:textId="77777777" w:rsidR="0092359F" w:rsidRDefault="0092359F">
      <w:pPr>
        <w:spacing w:before="160"/>
      </w:pPr>
    </w:p>
    <w:p w14:paraId="02CAA7BA" w14:textId="77777777" w:rsidR="0092359F" w:rsidRDefault="00B50D86">
      <w:pPr>
        <w:keepNext/>
        <w:pBdr>
          <w:bottom w:val="single" w:sz="8" w:space="0" w:color="009CDE"/>
        </w:pBdr>
        <w:spacing w:before="260" w:after="100"/>
      </w:pPr>
      <w:r>
        <w:rPr>
          <w:b/>
          <w:bCs/>
          <w:color w:val="00243C"/>
          <w:sz w:val="26"/>
          <w:szCs w:val="26"/>
        </w:rPr>
        <w:t>What Makes a Strong Proposal</w:t>
      </w:r>
    </w:p>
    <w:p w14:paraId="02CAA7BB" w14:textId="77777777" w:rsidR="0092359F" w:rsidRDefault="00B50D86">
      <w:pPr>
        <w:spacing w:before="80" w:after="80"/>
      </w:pPr>
      <w:r>
        <w:rPr>
          <w:color w:val="111111"/>
        </w:rPr>
        <w:t>GRA reviewers evaluate proposals on five dimensions. Strong proposals address all five, not just the science.</w:t>
      </w:r>
    </w:p>
    <w:p w14:paraId="02CAA7BC" w14:textId="77777777" w:rsidR="0092359F" w:rsidRDefault="0092359F">
      <w:pPr>
        <w:spacing w:before="80"/>
      </w:pPr>
    </w:p>
    <w:p w14:paraId="02CAA7BD" w14:textId="77777777" w:rsidR="0092359F" w:rsidRDefault="00B50D86">
      <w:pPr>
        <w:keepNext/>
        <w:spacing w:before="140" w:after="60"/>
      </w:pPr>
      <w:r>
        <w:rPr>
          <w:b/>
          <w:bCs/>
          <w:color w:val="00243C"/>
        </w:rPr>
        <w:lastRenderedPageBreak/>
        <w:t>1.  A clear problem and a specific solution</w:t>
      </w:r>
    </w:p>
    <w:p w14:paraId="02CAA7BE" w14:textId="77777777" w:rsidR="0092359F" w:rsidRDefault="00B50D86">
      <w:pPr>
        <w:spacing w:after="100"/>
      </w:pPr>
      <w:r>
        <w:t>Who experiences this problem, and why does it matter? What does your technology do that current approaches don't? GRA isn't looking for a comprehensive literature review. It wants to understand the gap and why your solution addresses it.</w:t>
      </w:r>
    </w:p>
    <w:p w14:paraId="02CAA7BF" w14:textId="42949D4B" w:rsidR="0092359F" w:rsidRDefault="00B50D86">
      <w:pPr>
        <w:keepNext/>
        <w:spacing w:before="140" w:after="60"/>
      </w:pPr>
      <w:r>
        <w:rPr>
          <w:b/>
          <w:bCs/>
          <w:color w:val="00243C"/>
        </w:rPr>
        <w:t xml:space="preserve">2.  </w:t>
      </w:r>
      <w:r w:rsidR="003A3337">
        <w:rPr>
          <w:b/>
          <w:bCs/>
          <w:color w:val="00243C"/>
        </w:rPr>
        <w:t>M</w:t>
      </w:r>
      <w:r>
        <w:rPr>
          <w:b/>
          <w:bCs/>
          <w:color w:val="00243C"/>
        </w:rPr>
        <w:t>ilestone</w:t>
      </w:r>
      <w:r w:rsidR="003A3337">
        <w:rPr>
          <w:b/>
          <w:bCs/>
          <w:color w:val="00243C"/>
        </w:rPr>
        <w:t>s</w:t>
      </w:r>
      <w:r>
        <w:rPr>
          <w:b/>
          <w:bCs/>
          <w:color w:val="00243C"/>
        </w:rPr>
        <w:t xml:space="preserve"> that create a go/no-go decision</w:t>
      </w:r>
      <w:r w:rsidR="00CC04A9">
        <w:rPr>
          <w:b/>
          <w:bCs/>
          <w:color w:val="00243C"/>
        </w:rPr>
        <w:t>(s)</w:t>
      </w:r>
    </w:p>
    <w:p w14:paraId="02CAA7C0" w14:textId="77777777" w:rsidR="0092359F" w:rsidRDefault="00B50D86">
      <w:pPr>
        <w:spacing w:after="100"/>
      </w:pPr>
      <w:r>
        <w:t>The milestone set is the most important part of the proposal. Each milestone should define a specific, measurable result that a reviewer can clearly assess. Weak milestones say things like "further optimize the system" or "evaluate performance." Strong milestones say: the assay achieves ≥95% sensitivity across 100 samples compared to the current clinical standard.</w:t>
      </w:r>
    </w:p>
    <w:p w14:paraId="02CAA7C1" w14:textId="77777777" w:rsidR="0092359F" w:rsidRDefault="00B50D86">
      <w:pPr>
        <w:keepNext/>
        <w:spacing w:before="140" w:after="60"/>
      </w:pPr>
      <w:r>
        <w:rPr>
          <w:b/>
          <w:bCs/>
          <w:color w:val="00243C"/>
        </w:rPr>
        <w:t>3.  Evidence of comparative advantage</w:t>
      </w:r>
    </w:p>
    <w:p w14:paraId="02CAA7C2" w14:textId="35FE7C7A" w:rsidR="0092359F" w:rsidRDefault="00B50D86">
      <w:pPr>
        <w:spacing w:after="100"/>
      </w:pPr>
      <w:r>
        <w:t>GRA reviewers look for proposals that show, or plan to generate evidence showing, that the technology outperforms existing solutions. You don't need the data yet, but the milestone</w:t>
      </w:r>
      <w:r w:rsidR="00806D0C">
        <w:t>s</w:t>
      </w:r>
      <w:r>
        <w:t xml:space="preserve"> should be designed to produce that comparison. A head-to-head experiment, a benchmarking study, a validated cost model: these make proposals fundable.</w:t>
      </w:r>
    </w:p>
    <w:p w14:paraId="02CAA7C3" w14:textId="77777777" w:rsidR="0092359F" w:rsidRDefault="00B50D86">
      <w:pPr>
        <w:keepNext/>
        <w:spacing w:before="140" w:after="60"/>
      </w:pPr>
      <w:r>
        <w:rPr>
          <w:b/>
          <w:bCs/>
          <w:color w:val="00243C"/>
        </w:rPr>
        <w:t>4.  A realistic, right-sized budget</w:t>
      </w:r>
    </w:p>
    <w:p w14:paraId="02CAA7C4" w14:textId="5A631EBC" w:rsidR="0092359F" w:rsidRDefault="00B50D86">
      <w:pPr>
        <w:spacing w:after="100"/>
      </w:pPr>
      <w:r>
        <w:t xml:space="preserve">Your budget should reflect what the milestones actually require, not the maximum allowable amount. A $30,000 proposal for a focused experiment is often stronger than a $250,000 proposal for a broad scope. Every budget line should connect directly to </w:t>
      </w:r>
      <w:r w:rsidR="00CC1FC7">
        <w:t xml:space="preserve">the </w:t>
      </w:r>
      <w:r>
        <w:t>milestone</w:t>
      </w:r>
      <w:r w:rsidR="00CC1FC7">
        <w:t>s</w:t>
      </w:r>
      <w:r>
        <w:t>.</w:t>
      </w:r>
    </w:p>
    <w:p w14:paraId="02CAA7C5" w14:textId="77777777" w:rsidR="0092359F" w:rsidRDefault="00B50D86">
      <w:pPr>
        <w:keepNext/>
        <w:spacing w:before="140" w:after="60"/>
      </w:pPr>
      <w:r>
        <w:rPr>
          <w:b/>
          <w:bCs/>
          <w:color w:val="00243C"/>
        </w:rPr>
        <w:t>5.  A credible path forward</w:t>
      </w:r>
    </w:p>
    <w:p w14:paraId="02CAA7C6" w14:textId="19CF8A1E" w:rsidR="0092359F" w:rsidRDefault="00B50D86">
      <w:pPr>
        <w:spacing w:after="100"/>
      </w:pPr>
      <w:r>
        <w:t>If the milestone</w:t>
      </w:r>
      <w:r w:rsidR="00806D0C">
        <w:t>s</w:t>
      </w:r>
      <w:r>
        <w:t xml:space="preserve"> succeed, what happens next? A subsequent Development Grant, an SBIR application, a startup formation, an industry conversation? GRA invests in projects with a plausible onward trajectory, </w:t>
      </w:r>
      <w:r w:rsidR="00CC494A">
        <w:t>with forward looking vision</w:t>
      </w:r>
      <w:r>
        <w:t>.</w:t>
      </w:r>
      <w:r w:rsidR="00CC494A">
        <w:t xml:space="preserve"> GRA funding</w:t>
      </w:r>
      <w:r w:rsidR="009814D3">
        <w:t xml:space="preserve"> shouldn’t be the end of the road.</w:t>
      </w:r>
    </w:p>
    <w:p w14:paraId="02CAA7C7" w14:textId="77777777" w:rsidR="0092359F" w:rsidRDefault="0092359F">
      <w:pPr>
        <w:spacing w:before="80"/>
      </w:pPr>
    </w:p>
    <w:p w14:paraId="02CAA7C8" w14:textId="49F26861" w:rsidR="0092359F" w:rsidRDefault="00B50D86">
      <w:pPr>
        <w:spacing w:before="80" w:after="80"/>
        <w:ind w:left="180" w:right="180"/>
      </w:pPr>
      <w:r>
        <w:rPr>
          <w:i/>
          <w:iCs/>
          <w:color w:val="444444"/>
          <w:sz w:val="20"/>
          <w:szCs w:val="20"/>
        </w:rPr>
        <w:t xml:space="preserve">The proposal template includes inline examples of strong and weak milestone language. Read those before writing your milestones. They </w:t>
      </w:r>
      <w:r w:rsidR="009D6779">
        <w:rPr>
          <w:i/>
          <w:iCs/>
          <w:color w:val="444444"/>
          <w:sz w:val="20"/>
          <w:szCs w:val="20"/>
        </w:rPr>
        <w:t xml:space="preserve">may </w:t>
      </w:r>
      <w:r>
        <w:rPr>
          <w:i/>
          <w:iCs/>
          <w:color w:val="444444"/>
          <w:sz w:val="20"/>
          <w:szCs w:val="20"/>
        </w:rPr>
        <w:t>save you a revision cycle.</w:t>
      </w:r>
    </w:p>
    <w:p w14:paraId="02CAA7C9" w14:textId="77777777" w:rsidR="0092359F" w:rsidRDefault="00B50D86">
      <w:pPr>
        <w:keepNext/>
        <w:pBdr>
          <w:bottom w:val="single" w:sz="8" w:space="0" w:color="009CDE"/>
        </w:pBdr>
        <w:spacing w:before="260" w:after="100"/>
      </w:pPr>
      <w:r>
        <w:rPr>
          <w:b/>
          <w:bCs/>
          <w:color w:val="00243C"/>
          <w:sz w:val="26"/>
          <w:szCs w:val="26"/>
        </w:rPr>
        <w:t>The Application Process</w:t>
      </w:r>
    </w:p>
    <w:p w14:paraId="02CAA7CA" w14:textId="77777777" w:rsidR="0092359F" w:rsidRDefault="00B50D86">
      <w:pPr>
        <w:keepNext/>
        <w:spacing w:before="140" w:after="60"/>
      </w:pPr>
      <w:r>
        <w:rPr>
          <w:b/>
          <w:bCs/>
          <w:color w:val="00243C"/>
        </w:rPr>
        <w:t>Who submits the proposal?</w:t>
      </w:r>
    </w:p>
    <w:p w14:paraId="02CAA7CB" w14:textId="77777777" w:rsidR="0092359F" w:rsidRDefault="00B50D86">
      <w:pPr>
        <w:spacing w:after="100"/>
      </w:pPr>
      <w:r>
        <w:t>Proposals must be submitted by your university representative, not directly by the PI. This is by design. Your rep is GRA's partner on the ground and plays an active role in shaping proposals before they reach review. Reach out to your rep first.</w:t>
      </w:r>
    </w:p>
    <w:p w14:paraId="02CAA7CC" w14:textId="77777777" w:rsidR="0092359F" w:rsidRDefault="00B50D86">
      <w:pPr>
        <w:keepNext/>
        <w:spacing w:before="140" w:after="60"/>
      </w:pPr>
      <w:r>
        <w:rPr>
          <w:b/>
          <w:bCs/>
          <w:color w:val="00243C"/>
        </w:rPr>
        <w:t>When can I submit?</w:t>
      </w:r>
    </w:p>
    <w:p w14:paraId="02CAA7CD" w14:textId="77777777" w:rsidR="0092359F" w:rsidRDefault="00B50D86">
      <w:pPr>
        <w:spacing w:after="100"/>
      </w:pPr>
      <w:r>
        <w:t>Exploratory Grants are accepted on a rolling basis and reviewed as they arrive. Development Grant submissions are also accepted at any time, but they enter formal review at the next cycle cutoff. There are six cycles per year. The diagram below shows the annual schedule.</w:t>
      </w:r>
    </w:p>
    <w:p w14:paraId="02CAA7CE" w14:textId="77777777" w:rsidR="0092359F" w:rsidRDefault="0092359F">
      <w:pPr>
        <w:spacing w:before="60"/>
      </w:pPr>
    </w:p>
    <w:p w14:paraId="02CAA7CF" w14:textId="77777777" w:rsidR="0092359F" w:rsidRDefault="00B50D86" w:rsidP="000E51A9">
      <w:pPr>
        <w:spacing w:before="120" w:after="120"/>
        <w:ind w:left="-540"/>
      </w:pPr>
      <w:r>
        <w:rPr>
          <w:noProof/>
        </w:rPr>
        <w:lastRenderedPageBreak/>
        <w:drawing>
          <wp:inline distT="0" distB="0" distL="0" distR="0" wp14:anchorId="02CAA7EF" wp14:editId="02CAA7F0">
            <wp:extent cx="6667500" cy="3752850"/>
            <wp:effectExtent l="0" t="0" r="0" b="0"/>
            <wp:docPr id="1046869062" name="Picture 1046869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6667500" cy="3752850"/>
                    </a:xfrm>
                    <a:prstGeom prst="rect">
                      <a:avLst/>
                    </a:prstGeom>
                  </pic:spPr>
                </pic:pic>
              </a:graphicData>
            </a:graphic>
          </wp:inline>
        </w:drawing>
      </w:r>
    </w:p>
    <w:p w14:paraId="02CAA7D0" w14:textId="309A513C" w:rsidR="0092359F" w:rsidRDefault="00A0090D">
      <w:pPr>
        <w:spacing w:before="80"/>
      </w:pPr>
      <w:r>
        <w:rPr>
          <w:noProof/>
        </w:rPr>
        <w:drawing>
          <wp:inline distT="0" distB="0" distL="0" distR="0" wp14:anchorId="0942A7B9" wp14:editId="4701801F">
            <wp:extent cx="5943600" cy="3343133"/>
            <wp:effectExtent l="0" t="0" r="0" b="0"/>
            <wp:docPr id="877497660" name="Picture 184504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60047" name="Picture 18450458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43133"/>
                    </a:xfrm>
                    <a:prstGeom prst="rect">
                      <a:avLst/>
                    </a:prstGeom>
                  </pic:spPr>
                </pic:pic>
              </a:graphicData>
            </a:graphic>
          </wp:inline>
        </w:drawing>
      </w:r>
    </w:p>
    <w:p w14:paraId="02CAA7D1" w14:textId="2A9B2271" w:rsidR="0092359F" w:rsidRDefault="00B50D86" w:rsidP="00D12BE6">
      <w:pPr>
        <w:keepNext/>
        <w:spacing w:before="140" w:after="60"/>
        <w:ind w:left="-540"/>
      </w:pPr>
      <w:r>
        <w:rPr>
          <w:b/>
          <w:bCs/>
          <w:color w:val="00243C"/>
        </w:rPr>
        <w:t>How long does review take?</w:t>
      </w:r>
    </w:p>
    <w:p w14:paraId="02CAA7D2" w14:textId="77777777" w:rsidR="0092359F" w:rsidRDefault="00B50D86">
      <w:pPr>
        <w:spacing w:after="100"/>
      </w:pPr>
      <w:r>
        <w:t>Development Grant decisions are targeted within approximately four weeks of the cycle cutoff. Exploratory Grants are reviewed as received, typically within two weeks. GRA will flag any missing items (a missing vendor quote, an incomplete section) before the cutoff, giving your team time to resolve them.</w:t>
      </w:r>
    </w:p>
    <w:p w14:paraId="02CAA7D3" w14:textId="77777777" w:rsidR="0092359F" w:rsidRDefault="00B50D86">
      <w:pPr>
        <w:keepNext/>
        <w:spacing w:before="140" w:after="60"/>
      </w:pPr>
      <w:r>
        <w:rPr>
          <w:b/>
          <w:bCs/>
          <w:color w:val="00243C"/>
        </w:rPr>
        <w:lastRenderedPageBreak/>
        <w:t>What feedback will I receive?</w:t>
      </w:r>
    </w:p>
    <w:p w14:paraId="02CAA7D4" w14:textId="77777777" w:rsidR="0092359F" w:rsidRDefault="00B50D86">
      <w:pPr>
        <w:spacing w:after="100"/>
      </w:pPr>
      <w:r>
        <w:t>All proposals receive feedback, whether funded or not. GRA's goal is for every team to understand what would strengthen their proposal so that a rejection is the beginning of a better submission, not the end of the conversation.</w:t>
      </w:r>
    </w:p>
    <w:p w14:paraId="02CAA7D5" w14:textId="77777777" w:rsidR="0092359F" w:rsidRDefault="00B50D86">
      <w:pPr>
        <w:keepNext/>
        <w:spacing w:before="140" w:after="60"/>
      </w:pPr>
      <w:r>
        <w:rPr>
          <w:b/>
          <w:bCs/>
          <w:color w:val="00243C"/>
        </w:rPr>
        <w:t>Can I submit again after a rejection?</w:t>
      </w:r>
    </w:p>
    <w:p w14:paraId="02CAA7D6" w14:textId="57FBABE7" w:rsidR="0092359F" w:rsidRDefault="006D0BFF">
      <w:pPr>
        <w:spacing w:after="100"/>
      </w:pPr>
      <w:r>
        <w:t>Potentially</w:t>
      </w:r>
      <w:r w:rsidR="00A20FC8">
        <w:t>.</w:t>
      </w:r>
      <w:r w:rsidR="00B50D86">
        <w:t xml:space="preserve"> </w:t>
      </w:r>
      <w:r>
        <w:t>For some projects, a</w:t>
      </w:r>
      <w:r w:rsidR="00B50D86">
        <w:t xml:space="preserve"> rejection is not a permanent no</w:t>
      </w:r>
      <w:r>
        <w:t>:</w:t>
      </w:r>
      <w:r w:rsidR="00B50D86">
        <w:t xml:space="preserve"> If the feedback points to fixable issues such as a clearer milestone set, a comparative benchmark, or a tighter scope, you can revise and resubmit in a future cycle.</w:t>
      </w:r>
      <w:r>
        <w:t xml:space="preserve"> Some projects do not demonstrate a clear unmet need or </w:t>
      </w:r>
      <w:r w:rsidR="00FC24FC">
        <w:t xml:space="preserve">the technology does not significantly improve on the </w:t>
      </w:r>
      <w:r w:rsidR="00DC6CF2">
        <w:t xml:space="preserve">market standard. The feedback will outline these cases and </w:t>
      </w:r>
      <w:r w:rsidR="002167E7">
        <w:t>the project is not a fit for resubmission.</w:t>
      </w:r>
    </w:p>
    <w:p w14:paraId="02CAA7D7" w14:textId="77777777" w:rsidR="0092359F" w:rsidRDefault="00B50D86">
      <w:pPr>
        <w:keepNext/>
        <w:spacing w:before="140" w:after="60"/>
      </w:pPr>
      <w:r>
        <w:rPr>
          <w:b/>
          <w:bCs/>
          <w:color w:val="00243C"/>
        </w:rPr>
        <w:t>What if my project pivots mid-grant?</w:t>
      </w:r>
    </w:p>
    <w:p w14:paraId="02CAA7D8" w14:textId="049259E7" w:rsidR="0092359F" w:rsidRDefault="00B50D86">
      <w:pPr>
        <w:spacing w:after="100"/>
      </w:pPr>
      <w:r>
        <w:t xml:space="preserve">Tell GRA. If the </w:t>
      </w:r>
      <w:r w:rsidR="004D0FE8">
        <w:t xml:space="preserve">development merits a </w:t>
      </w:r>
      <w:r>
        <w:t>move in</w:t>
      </w:r>
      <w:r w:rsidR="00F973DB">
        <w:t>to</w:t>
      </w:r>
      <w:r>
        <w:t xml:space="preserve"> a new direction, GRA would rather know early than find out at the six-month progress report. Pivots are normal and the program is designed to accommodate them. Prior approval is required for changes to scope, budget, or timeline.</w:t>
      </w:r>
    </w:p>
    <w:p w14:paraId="02CAA7D9" w14:textId="77777777" w:rsidR="0092359F" w:rsidRDefault="00B50D86">
      <w:pPr>
        <w:keepNext/>
        <w:spacing w:before="140" w:after="60"/>
      </w:pPr>
      <w:r>
        <w:rPr>
          <w:b/>
          <w:bCs/>
          <w:color w:val="00243C"/>
        </w:rPr>
        <w:t>What happens after funding?</w:t>
      </w:r>
    </w:p>
    <w:p w14:paraId="02CAA7DA" w14:textId="515A1648" w:rsidR="0092359F" w:rsidRDefault="00B50D86">
      <w:pPr>
        <w:spacing w:after="100"/>
      </w:pPr>
      <w:r>
        <w:t>You'll submit progress updates every six months</w:t>
      </w:r>
      <w:r w:rsidR="00F31CAE">
        <w:t xml:space="preserve"> while the grant is active</w:t>
      </w:r>
      <w:r>
        <w:t>. GRA may also connect funded teams with investors, SBIR advisors, and industry contacts, particularly as milestones are achieved and the project approaches company formation or external capital. The goal is not just to fund the work but to help it reach the next stage.</w:t>
      </w:r>
      <w:r w:rsidR="00CA1A1C">
        <w:t xml:space="preserve"> You are welcome to contact GRA or your </w:t>
      </w:r>
      <w:r w:rsidR="00A663AB">
        <w:t>university rep at any time during an active grant, and we encourage updates as projects develop.</w:t>
      </w:r>
    </w:p>
    <w:p w14:paraId="02CAA7DB" w14:textId="77777777" w:rsidR="0092359F" w:rsidRDefault="0092359F">
      <w:pPr>
        <w:spacing w:before="160"/>
      </w:pPr>
    </w:p>
    <w:p w14:paraId="02CAA7DC" w14:textId="77777777" w:rsidR="0092359F" w:rsidRDefault="00B50D86">
      <w:pPr>
        <w:keepNext/>
        <w:pBdr>
          <w:bottom w:val="single" w:sz="8" w:space="0" w:color="009CDE"/>
        </w:pBdr>
        <w:spacing w:before="260" w:after="100"/>
      </w:pPr>
      <w:r>
        <w:rPr>
          <w:b/>
          <w:bCs/>
          <w:color w:val="00243C"/>
          <w:sz w:val="26"/>
          <w:szCs w:val="26"/>
        </w:rPr>
        <w:t>Your First Step: Talk to Your University Representative</w:t>
      </w:r>
    </w:p>
    <w:p w14:paraId="02CAA7DD" w14:textId="77777777" w:rsidR="0092359F" w:rsidRDefault="00B50D86">
      <w:pPr>
        <w:spacing w:before="80" w:after="80"/>
      </w:pPr>
      <w:r>
        <w:rPr>
          <w:color w:val="111111"/>
        </w:rPr>
        <w:t>Your university representative is the right starting point, before you open a template, before you scope a budget, and especially if you are not sure whether GRA is the right fit for your project.</w:t>
      </w:r>
    </w:p>
    <w:p w14:paraId="02CAA7DE" w14:textId="77777777" w:rsidR="0092359F" w:rsidRDefault="0092359F">
      <w:pPr>
        <w:spacing w:before="80"/>
      </w:pPr>
    </w:p>
    <w:p w14:paraId="02CAA7DF" w14:textId="77777777" w:rsidR="0092359F" w:rsidRDefault="00B50D86">
      <w:pPr>
        <w:spacing w:before="80" w:after="80"/>
      </w:pPr>
      <w:r>
        <w:rPr>
          <w:color w:val="111111"/>
        </w:rPr>
        <w:t>Your rep can help you:</w:t>
      </w:r>
    </w:p>
    <w:p w14:paraId="02CAA7E0" w14:textId="77777777" w:rsidR="0092359F" w:rsidRDefault="00B50D86">
      <w:pPr>
        <w:pStyle w:val="ListParagraph"/>
        <w:numPr>
          <w:ilvl w:val="0"/>
          <w:numId w:val="2"/>
        </w:numPr>
        <w:spacing w:before="50" w:after="50"/>
      </w:pPr>
      <w:r>
        <w:t>Assess whether your project is at the right stage for GRA funding</w:t>
      </w:r>
    </w:p>
    <w:p w14:paraId="02CAA7E1" w14:textId="77777777" w:rsidR="0092359F" w:rsidRDefault="00B50D86">
      <w:pPr>
        <w:pStyle w:val="ListParagraph"/>
        <w:numPr>
          <w:ilvl w:val="0"/>
          <w:numId w:val="2"/>
        </w:numPr>
        <w:spacing w:before="50" w:after="50"/>
      </w:pPr>
      <w:r>
        <w:t>Identify whether an Exploratory or Development Grant is more appropriate</w:t>
      </w:r>
    </w:p>
    <w:p w14:paraId="02CAA7E2" w14:textId="77777777" w:rsidR="0092359F" w:rsidRDefault="00B50D86">
      <w:pPr>
        <w:pStyle w:val="ListParagraph"/>
        <w:numPr>
          <w:ilvl w:val="0"/>
          <w:numId w:val="2"/>
        </w:numPr>
        <w:spacing w:before="50" w:after="50"/>
      </w:pPr>
      <w:r>
        <w:t>Sharpen your milestone language before you invest time in a full proposal</w:t>
      </w:r>
    </w:p>
    <w:p w14:paraId="02CAA7E3" w14:textId="77777777" w:rsidR="0092359F" w:rsidRDefault="00B50D86">
      <w:pPr>
        <w:pStyle w:val="ListParagraph"/>
        <w:numPr>
          <w:ilvl w:val="0"/>
          <w:numId w:val="2"/>
        </w:numPr>
        <w:spacing w:before="50" w:after="50"/>
      </w:pPr>
      <w:r>
        <w:t>Flag IP or licensing questions that need to be resolved before submission</w:t>
      </w:r>
    </w:p>
    <w:p w14:paraId="02CAA7E4" w14:textId="77777777" w:rsidR="0092359F" w:rsidRDefault="00B50D86">
      <w:pPr>
        <w:pStyle w:val="ListParagraph"/>
        <w:numPr>
          <w:ilvl w:val="0"/>
          <w:numId w:val="2"/>
        </w:numPr>
        <w:spacing w:before="50" w:after="50"/>
      </w:pPr>
      <w:r>
        <w:t>Connect you with GRA staff directly if there's something that needs a conversation</w:t>
      </w:r>
    </w:p>
    <w:p w14:paraId="02CAA7E5" w14:textId="77777777" w:rsidR="0092359F" w:rsidRDefault="0092359F">
      <w:pPr>
        <w:spacing w:before="100"/>
      </w:pPr>
    </w:p>
    <w:p w14:paraId="154234AB" w14:textId="77777777" w:rsidR="0080285B" w:rsidRDefault="0080285B" w:rsidP="0080285B">
      <w:pPr>
        <w:spacing w:before="80" w:after="80"/>
      </w:pPr>
      <w:r>
        <w:rPr>
          <w:b/>
          <w:bCs/>
          <w:color w:val="111111"/>
        </w:rPr>
        <w:t>University representatives by institution:</w:t>
      </w:r>
    </w:p>
    <w:p w14:paraId="27EB46A9" w14:textId="77777777" w:rsidR="0080285B" w:rsidRDefault="0080285B" w:rsidP="0080285B">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2880"/>
        <w:gridCol w:w="3600"/>
      </w:tblGrid>
      <w:tr w:rsidR="0080285B" w14:paraId="26A45AC7" w14:textId="77777777" w:rsidTr="005859CC">
        <w:trPr>
          <w:tblHeader/>
        </w:trPr>
        <w:tc>
          <w:tcPr>
            <w:tcW w:w="288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08028043" w14:textId="77777777" w:rsidR="0080285B" w:rsidRDefault="0080285B" w:rsidP="005859CC">
            <w:r>
              <w:rPr>
                <w:b/>
                <w:bCs/>
                <w:color w:val="FFFFFF"/>
                <w:sz w:val="21"/>
                <w:szCs w:val="21"/>
              </w:rPr>
              <w:t>University</w:t>
            </w:r>
          </w:p>
        </w:tc>
        <w:tc>
          <w:tcPr>
            <w:tcW w:w="288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62FF4D06" w14:textId="77777777" w:rsidR="0080285B" w:rsidRDefault="0080285B" w:rsidP="005859CC">
            <w:r>
              <w:rPr>
                <w:b/>
                <w:bCs/>
                <w:color w:val="FFFFFF"/>
                <w:sz w:val="21"/>
                <w:szCs w:val="21"/>
              </w:rPr>
              <w:t>Representative</w:t>
            </w:r>
          </w:p>
        </w:tc>
        <w:tc>
          <w:tcPr>
            <w:tcW w:w="3600" w:type="dxa"/>
            <w:tcBorders>
              <w:top w:val="single" w:sz="1" w:space="0" w:color="BBCFDD"/>
              <w:left w:val="single" w:sz="1" w:space="0" w:color="BBCFDD"/>
              <w:bottom w:val="single" w:sz="1" w:space="0" w:color="BBCFDD"/>
              <w:right w:val="single" w:sz="1" w:space="0" w:color="BBCFDD"/>
            </w:tcBorders>
            <w:shd w:val="clear" w:color="auto" w:fill="00243C"/>
            <w:tcMar>
              <w:top w:w="80" w:type="dxa"/>
              <w:left w:w="120" w:type="dxa"/>
              <w:bottom w:w="80" w:type="dxa"/>
              <w:right w:w="120" w:type="dxa"/>
            </w:tcMar>
          </w:tcPr>
          <w:p w14:paraId="773AD257" w14:textId="77777777" w:rsidR="0080285B" w:rsidRDefault="0080285B" w:rsidP="005859CC">
            <w:r>
              <w:rPr>
                <w:b/>
                <w:bCs/>
                <w:color w:val="FFFFFF"/>
                <w:sz w:val="21"/>
                <w:szCs w:val="21"/>
              </w:rPr>
              <w:t>Contact</w:t>
            </w:r>
          </w:p>
        </w:tc>
      </w:tr>
      <w:tr w:rsidR="0080285B" w14:paraId="23E1DDF1"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0A3B51D9" w14:textId="77777777" w:rsidR="0080285B" w:rsidRDefault="0080285B" w:rsidP="005859CC">
            <w:r>
              <w:rPr>
                <w:b/>
                <w:bCs/>
                <w:color w:val="00243C"/>
                <w:sz w:val="21"/>
                <w:szCs w:val="21"/>
              </w:rPr>
              <w:t>Augusta University</w:t>
            </w:r>
          </w:p>
        </w:t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20BFA53C" w14:textId="77777777" w:rsidR="0080285B" w:rsidRDefault="0080285B" w:rsidP="005859CC">
            <w:r>
              <w:rPr>
                <w:sz w:val="21"/>
                <w:szCs w:val="21"/>
              </w:rPr>
              <w:t>Michael Moore, Ph.D.</w:t>
            </w:r>
          </w:p>
        </w:tc>
        <w:tc>
          <w:tcPr>
            <w:tcW w:w="3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7332B97F" w14:textId="77777777" w:rsidR="0080285B" w:rsidRDefault="0080285B" w:rsidP="005859CC">
            <w:pPr>
              <w:spacing w:after="40"/>
            </w:pPr>
            <w:r>
              <w:rPr>
                <w:sz w:val="21"/>
                <w:szCs w:val="21"/>
              </w:rPr>
              <w:t>706.721.4055</w:t>
            </w:r>
          </w:p>
          <w:p w14:paraId="7C034102" w14:textId="77777777" w:rsidR="0080285B" w:rsidRDefault="0080285B" w:rsidP="005859CC">
            <w:r>
              <w:rPr>
                <w:color w:val="009CDE"/>
                <w:sz w:val="19"/>
                <w:szCs w:val="19"/>
              </w:rPr>
              <w:t>mike.moore@augusta.edu</w:t>
            </w:r>
          </w:p>
        </w:tc>
      </w:tr>
      <w:tr w:rsidR="0080285B" w14:paraId="31C754AE"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2B0C35E7" w14:textId="77777777" w:rsidR="0080285B" w:rsidRDefault="0080285B" w:rsidP="005859CC">
            <w:r>
              <w:rPr>
                <w:b/>
                <w:bCs/>
                <w:color w:val="00243C"/>
                <w:sz w:val="21"/>
                <w:szCs w:val="21"/>
              </w:rPr>
              <w:t>Emory University</w:t>
            </w:r>
          </w:p>
        </w:t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E7CA01C" w14:textId="77777777" w:rsidR="0080285B" w:rsidRDefault="0080285B" w:rsidP="005859CC">
            <w:r>
              <w:rPr>
                <w:sz w:val="21"/>
                <w:szCs w:val="21"/>
              </w:rPr>
              <w:t>Patrick Reynolds, Ph.D.</w:t>
            </w:r>
          </w:p>
        </w:tc>
        <w:tc>
          <w:tcPr>
            <w:tcW w:w="3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5E1706B2" w14:textId="77777777" w:rsidR="0080285B" w:rsidRDefault="0080285B" w:rsidP="005859CC">
            <w:pPr>
              <w:spacing w:after="40"/>
            </w:pPr>
            <w:r>
              <w:rPr>
                <w:sz w:val="21"/>
                <w:szCs w:val="21"/>
              </w:rPr>
              <w:t>404.727.2211</w:t>
            </w:r>
          </w:p>
          <w:p w14:paraId="3468C12B" w14:textId="77777777" w:rsidR="0080285B" w:rsidRDefault="0080285B" w:rsidP="005859CC">
            <w:r>
              <w:rPr>
                <w:color w:val="009CDE"/>
                <w:sz w:val="19"/>
                <w:szCs w:val="19"/>
              </w:rPr>
              <w:lastRenderedPageBreak/>
              <w:t>patrick.reynolds@emory.edu</w:t>
            </w:r>
          </w:p>
        </w:tc>
      </w:tr>
      <w:tr w:rsidR="0080285B" w14:paraId="306D52F3"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47086AAE" w14:textId="77777777" w:rsidR="0080285B" w:rsidRDefault="0080285B" w:rsidP="005859CC">
            <w:r>
              <w:rPr>
                <w:b/>
                <w:bCs/>
                <w:color w:val="00243C"/>
                <w:sz w:val="21"/>
                <w:szCs w:val="21"/>
              </w:rPr>
              <w:lastRenderedPageBreak/>
              <w:t>Georgia Southern University</w:t>
            </w:r>
          </w:p>
        </w:t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28F17C64" w14:textId="77777777" w:rsidR="0080285B" w:rsidRDefault="0080285B" w:rsidP="005859CC">
            <w:r>
              <w:rPr>
                <w:sz w:val="21"/>
                <w:szCs w:val="21"/>
              </w:rPr>
              <w:t>Dominique Halaby, D.P.A.</w:t>
            </w:r>
          </w:p>
        </w:tc>
        <w:tc>
          <w:tcPr>
            <w:tcW w:w="3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533DC060" w14:textId="77777777" w:rsidR="0080285B" w:rsidRDefault="0080285B" w:rsidP="005859CC">
            <w:pPr>
              <w:spacing w:after="40"/>
            </w:pPr>
            <w:r>
              <w:rPr>
                <w:sz w:val="21"/>
                <w:szCs w:val="21"/>
              </w:rPr>
              <w:t>912.478.2733</w:t>
            </w:r>
          </w:p>
          <w:p w14:paraId="0309F79F" w14:textId="77777777" w:rsidR="0080285B" w:rsidRDefault="0080285B" w:rsidP="005859CC">
            <w:r>
              <w:rPr>
                <w:color w:val="009CDE"/>
                <w:sz w:val="19"/>
                <w:szCs w:val="19"/>
              </w:rPr>
              <w:t>dhalaby@georgiasouthern.edu</w:t>
            </w:r>
          </w:p>
        </w:tc>
      </w:tr>
      <w:tr w:rsidR="0080285B" w14:paraId="657BF3C0"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D13F2FE" w14:textId="77777777" w:rsidR="0080285B" w:rsidRDefault="0080285B" w:rsidP="005859CC">
            <w:r>
              <w:rPr>
                <w:b/>
                <w:bCs/>
                <w:color w:val="00243C"/>
                <w:sz w:val="21"/>
                <w:szCs w:val="21"/>
              </w:rPr>
              <w:t>Georgia State University</w:t>
            </w:r>
          </w:p>
        </w:t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315DEC64" w14:textId="77777777" w:rsidR="0080285B" w:rsidRDefault="0080285B" w:rsidP="005859CC">
            <w:r>
              <w:rPr>
                <w:sz w:val="21"/>
                <w:szCs w:val="21"/>
              </w:rPr>
              <w:t>Joanne Mitchell, Ph.D.</w:t>
            </w:r>
          </w:p>
        </w:tc>
        <w:tc>
          <w:tcPr>
            <w:tcW w:w="3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7B428461" w14:textId="77777777" w:rsidR="0080285B" w:rsidRDefault="0080285B" w:rsidP="005859CC">
            <w:pPr>
              <w:spacing w:after="40"/>
            </w:pPr>
            <w:r>
              <w:rPr>
                <w:sz w:val="21"/>
                <w:szCs w:val="21"/>
              </w:rPr>
              <w:t>404.413.6687</w:t>
            </w:r>
          </w:p>
          <w:p w14:paraId="41DD6517" w14:textId="77777777" w:rsidR="0080285B" w:rsidRDefault="0080285B" w:rsidP="005859CC">
            <w:r>
              <w:rPr>
                <w:color w:val="009CDE"/>
                <w:sz w:val="19"/>
                <w:szCs w:val="19"/>
              </w:rPr>
              <w:t>jmitchell152@gsu.edu</w:t>
            </w:r>
          </w:p>
        </w:tc>
      </w:tr>
      <w:tr w:rsidR="0080285B" w14:paraId="06BD2616"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5F430921" w14:textId="77777777" w:rsidR="0080285B" w:rsidRDefault="0080285B" w:rsidP="005859CC">
            <w:r>
              <w:rPr>
                <w:b/>
                <w:bCs/>
                <w:color w:val="00243C"/>
                <w:sz w:val="21"/>
                <w:szCs w:val="21"/>
              </w:rPr>
              <w:t>Georgia Tech</w:t>
            </w:r>
          </w:p>
        </w:t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29C224E9" w14:textId="77777777" w:rsidR="0080285B" w:rsidRDefault="0080285B" w:rsidP="005859CC">
            <w:r>
              <w:rPr>
                <w:sz w:val="21"/>
                <w:szCs w:val="21"/>
              </w:rPr>
              <w:t>Jon Goldman</w:t>
            </w:r>
          </w:p>
        </w:tc>
        <w:tc>
          <w:tcPr>
            <w:tcW w:w="3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180EC408" w14:textId="77777777" w:rsidR="0080285B" w:rsidRDefault="0080285B" w:rsidP="005859CC">
            <w:pPr>
              <w:spacing w:after="40"/>
            </w:pPr>
            <w:r>
              <w:rPr>
                <w:sz w:val="21"/>
                <w:szCs w:val="21"/>
              </w:rPr>
              <w:t>404.915.4880</w:t>
            </w:r>
          </w:p>
          <w:p w14:paraId="09832207" w14:textId="77777777" w:rsidR="0080285B" w:rsidRDefault="0080285B" w:rsidP="005859CC">
            <w:r>
              <w:rPr>
                <w:color w:val="009CDE"/>
                <w:sz w:val="19"/>
                <w:szCs w:val="19"/>
              </w:rPr>
              <w:t>jongoldman@gatech.edu</w:t>
            </w:r>
          </w:p>
        </w:tc>
      </w:tr>
      <w:tr w:rsidR="0080285B" w14:paraId="763ECB91"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216ACEAB" w14:textId="77777777" w:rsidR="0080285B" w:rsidRDefault="0080285B" w:rsidP="005859CC">
            <w:r>
              <w:rPr>
                <w:b/>
                <w:bCs/>
                <w:color w:val="00243C"/>
                <w:sz w:val="21"/>
                <w:szCs w:val="21"/>
              </w:rPr>
              <w:t>Kennesaw State University</w:t>
            </w:r>
          </w:p>
        </w:t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19874433" w14:textId="77777777" w:rsidR="0080285B" w:rsidRDefault="0080285B" w:rsidP="005859CC">
            <w:r>
              <w:rPr>
                <w:sz w:val="21"/>
                <w:szCs w:val="21"/>
              </w:rPr>
              <w:t>Chris Cornelison, Ph.D.</w:t>
            </w:r>
          </w:p>
        </w:tc>
        <w:tc>
          <w:tcPr>
            <w:tcW w:w="3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75501657" w14:textId="77777777" w:rsidR="0080285B" w:rsidRDefault="0080285B" w:rsidP="005859CC">
            <w:pPr>
              <w:spacing w:after="40"/>
            </w:pPr>
            <w:r>
              <w:rPr>
                <w:sz w:val="21"/>
                <w:szCs w:val="21"/>
              </w:rPr>
              <w:t>470.578.5115</w:t>
            </w:r>
          </w:p>
          <w:p w14:paraId="1C760231" w14:textId="77777777" w:rsidR="0080285B" w:rsidRDefault="0080285B" w:rsidP="005859CC">
            <w:r>
              <w:rPr>
                <w:color w:val="009CDE"/>
                <w:sz w:val="19"/>
                <w:szCs w:val="19"/>
              </w:rPr>
              <w:t>Ccornel5@kennesaw.edu</w:t>
            </w:r>
          </w:p>
        </w:tc>
      </w:tr>
      <w:tr w:rsidR="0080285B" w14:paraId="4D28AFE0"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62147B9A" w14:textId="77777777" w:rsidR="0080285B" w:rsidRDefault="0080285B" w:rsidP="005859CC">
            <w:r>
              <w:rPr>
                <w:b/>
                <w:bCs/>
                <w:color w:val="00243C"/>
                <w:sz w:val="21"/>
                <w:szCs w:val="21"/>
              </w:rPr>
              <w:t>Mercer University</w:t>
            </w:r>
          </w:p>
        </w:t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46D69B6F" w14:textId="77777777" w:rsidR="0080285B" w:rsidRDefault="0080285B" w:rsidP="005859CC">
            <w:r>
              <w:rPr>
                <w:sz w:val="21"/>
                <w:szCs w:val="21"/>
              </w:rPr>
              <w:t>Wayne Glasgow, Ph.D.</w:t>
            </w:r>
          </w:p>
        </w:tc>
        <w:tc>
          <w:tcPr>
            <w:tcW w:w="3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3215DF05" w14:textId="77777777" w:rsidR="0080285B" w:rsidRDefault="0080285B" w:rsidP="005859CC">
            <w:pPr>
              <w:spacing w:after="40"/>
            </w:pPr>
            <w:r>
              <w:rPr>
                <w:sz w:val="21"/>
                <w:szCs w:val="21"/>
              </w:rPr>
              <w:t>478.301.2024</w:t>
            </w:r>
          </w:p>
          <w:p w14:paraId="0C1999A9" w14:textId="77777777" w:rsidR="0080285B" w:rsidRDefault="0080285B" w:rsidP="005859CC">
            <w:r>
              <w:rPr>
                <w:color w:val="009CDE"/>
                <w:sz w:val="19"/>
                <w:szCs w:val="19"/>
              </w:rPr>
              <w:t>glasgow_wc@mercer.edu</w:t>
            </w:r>
          </w:p>
        </w:tc>
      </w:tr>
      <w:tr w:rsidR="0080285B" w14:paraId="31A5CE7A"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2CF00928" w14:textId="77777777" w:rsidR="0080285B" w:rsidRDefault="0080285B" w:rsidP="005859CC">
            <w:r>
              <w:rPr>
                <w:b/>
                <w:bCs/>
                <w:color w:val="00243C"/>
                <w:sz w:val="21"/>
                <w:szCs w:val="21"/>
              </w:rPr>
              <w:t>Morehouse School of Medicine</w:t>
            </w:r>
          </w:p>
        </w:tc>
        <w:tc>
          <w:tcPr>
            <w:tcW w:w="288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0F9C02C6" w14:textId="77777777" w:rsidR="0080285B" w:rsidRDefault="0080285B" w:rsidP="005859CC">
            <w:r>
              <w:rPr>
                <w:sz w:val="21"/>
                <w:szCs w:val="21"/>
              </w:rPr>
              <w:t>James W. Lillard, Ph.D., M.B.A.</w:t>
            </w:r>
          </w:p>
        </w:tc>
        <w:tc>
          <w:tcPr>
            <w:tcW w:w="3600" w:type="dxa"/>
            <w:tcBorders>
              <w:top w:val="single" w:sz="1" w:space="0" w:color="BBCFDD"/>
              <w:left w:val="single" w:sz="1" w:space="0" w:color="BBCFDD"/>
              <w:bottom w:val="single" w:sz="1" w:space="0" w:color="BBCFDD"/>
              <w:right w:val="single" w:sz="1" w:space="0" w:color="BBCFDD"/>
            </w:tcBorders>
            <w:shd w:val="clear" w:color="auto" w:fill="FFFFFF"/>
            <w:tcMar>
              <w:top w:w="80" w:type="dxa"/>
              <w:left w:w="120" w:type="dxa"/>
              <w:bottom w:w="80" w:type="dxa"/>
              <w:right w:w="120" w:type="dxa"/>
            </w:tcMar>
          </w:tcPr>
          <w:p w14:paraId="6F232517" w14:textId="77777777" w:rsidR="0080285B" w:rsidRDefault="0080285B" w:rsidP="005859CC">
            <w:pPr>
              <w:spacing w:after="40"/>
            </w:pPr>
            <w:r>
              <w:rPr>
                <w:sz w:val="21"/>
                <w:szCs w:val="21"/>
              </w:rPr>
              <w:t>404.752.1863</w:t>
            </w:r>
          </w:p>
          <w:p w14:paraId="3252E848" w14:textId="77777777" w:rsidR="0080285B" w:rsidRDefault="0080285B" w:rsidP="005859CC">
            <w:r>
              <w:rPr>
                <w:color w:val="009CDE"/>
                <w:sz w:val="19"/>
                <w:szCs w:val="19"/>
              </w:rPr>
              <w:t>jlillard@msm.edu</w:t>
            </w:r>
          </w:p>
        </w:tc>
      </w:tr>
      <w:tr w:rsidR="0080285B" w14:paraId="6635BAF0" w14:textId="77777777" w:rsidTr="005859C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40EEDA43" w14:textId="77777777" w:rsidR="0080285B" w:rsidRDefault="0080285B" w:rsidP="005859CC">
            <w:r>
              <w:rPr>
                <w:b/>
                <w:bCs/>
                <w:color w:val="00243C"/>
                <w:sz w:val="21"/>
                <w:szCs w:val="21"/>
              </w:rPr>
              <w:t>University of Georgia</w:t>
            </w:r>
          </w:p>
        </w:tc>
        <w:tc>
          <w:tcPr>
            <w:tcW w:w="288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2638222B" w14:textId="77777777" w:rsidR="0080285B" w:rsidRDefault="0080285B" w:rsidP="005859CC">
            <w:r>
              <w:rPr>
                <w:sz w:val="21"/>
                <w:szCs w:val="21"/>
              </w:rPr>
              <w:t>Dan Geller, Ph.D.</w:t>
            </w:r>
          </w:p>
        </w:tc>
        <w:tc>
          <w:tcPr>
            <w:tcW w:w="3600" w:type="dxa"/>
            <w:tcBorders>
              <w:top w:val="single" w:sz="1" w:space="0" w:color="BBCFDD"/>
              <w:left w:val="single" w:sz="1" w:space="0" w:color="BBCFDD"/>
              <w:bottom w:val="single" w:sz="1" w:space="0" w:color="BBCFDD"/>
              <w:right w:val="single" w:sz="1" w:space="0" w:color="BBCFDD"/>
            </w:tcBorders>
            <w:shd w:val="clear" w:color="auto" w:fill="F0F6FA"/>
            <w:tcMar>
              <w:top w:w="80" w:type="dxa"/>
              <w:left w:w="120" w:type="dxa"/>
              <w:bottom w:w="80" w:type="dxa"/>
              <w:right w:w="120" w:type="dxa"/>
            </w:tcMar>
          </w:tcPr>
          <w:p w14:paraId="52839FB1" w14:textId="77777777" w:rsidR="0080285B" w:rsidRDefault="0080285B" w:rsidP="005859CC">
            <w:pPr>
              <w:spacing w:after="40"/>
            </w:pPr>
            <w:r>
              <w:rPr>
                <w:sz w:val="21"/>
                <w:szCs w:val="21"/>
              </w:rPr>
              <w:t>706.583.0876</w:t>
            </w:r>
          </w:p>
          <w:p w14:paraId="1E921B80" w14:textId="77777777" w:rsidR="0080285B" w:rsidRDefault="0080285B" w:rsidP="005859CC">
            <w:r>
              <w:rPr>
                <w:color w:val="009CDE"/>
                <w:sz w:val="19"/>
                <w:szCs w:val="19"/>
              </w:rPr>
              <w:t>dgeller@uga.edu</w:t>
            </w:r>
          </w:p>
        </w:tc>
      </w:tr>
    </w:tbl>
    <w:p w14:paraId="3651874B" w14:textId="77777777" w:rsidR="0080285B" w:rsidRDefault="0080285B" w:rsidP="0080285B">
      <w:pPr>
        <w:spacing w:before="80"/>
      </w:pPr>
    </w:p>
    <w:p w14:paraId="70C0169E" w14:textId="77777777" w:rsidR="0080285B" w:rsidRDefault="0080285B" w:rsidP="0080285B">
      <w:pPr>
        <w:spacing w:before="80" w:after="80"/>
        <w:ind w:left="180" w:right="180"/>
      </w:pPr>
      <w:r>
        <w:rPr>
          <w:i/>
          <w:iCs/>
          <w:color w:val="444444"/>
          <w:sz w:val="20"/>
          <w:szCs w:val="20"/>
        </w:rPr>
        <w:t>Researchers at Clark Atlanta University, Georgia College, or other accredited Georgia institutions not listed above should contact GRA at Grants@GRA.org.</w:t>
      </w:r>
    </w:p>
    <w:p w14:paraId="1430AB74" w14:textId="77777777" w:rsidR="0080285B" w:rsidRDefault="0080285B" w:rsidP="0080285B">
      <w:pPr>
        <w:spacing w:before="80"/>
      </w:pPr>
    </w:p>
    <w:p w14:paraId="2A2E44F4" w14:textId="77777777" w:rsidR="0080285B" w:rsidRDefault="0080285B" w:rsidP="0080285B">
      <w:pPr>
        <w:spacing w:before="80" w:after="80"/>
        <w:ind w:left="180" w:right="180"/>
      </w:pPr>
      <w:r>
        <w:rPr>
          <w:i/>
          <w:iCs/>
          <w:color w:val="444444"/>
          <w:sz w:val="20"/>
          <w:szCs w:val="20"/>
        </w:rPr>
        <w:t>GRA is available for early conversations. If you are working on something promising and want to understand whether it fits before committing to a proposal, reach out. We would rather talk now than review something that is not ready.</w:t>
      </w:r>
    </w:p>
    <w:p w14:paraId="02CAA7E9" w14:textId="77777777" w:rsidR="0092359F" w:rsidRDefault="0092359F">
      <w:pPr>
        <w:spacing w:before="200"/>
      </w:pPr>
    </w:p>
    <w:p w14:paraId="02CAA7EA" w14:textId="77777777" w:rsidR="0092359F" w:rsidRDefault="00B50D86">
      <w:pPr>
        <w:pBdr>
          <w:top w:val="single" w:sz="6" w:space="0" w:color="009CDE"/>
        </w:pBdr>
        <w:spacing w:before="120" w:after="80"/>
        <w:jc w:val="center"/>
      </w:pPr>
      <w:r>
        <w:rPr>
          <w:color w:val="444444"/>
        </w:rPr>
        <w:t xml:space="preserve">Questions?  Email: </w:t>
      </w:r>
      <w:proofErr w:type="gramStart"/>
      <w:r>
        <w:rPr>
          <w:b/>
          <w:bCs/>
          <w:color w:val="009CDE"/>
        </w:rPr>
        <w:t>Grants@GRA.org</w:t>
      </w:r>
      <w:r>
        <w:rPr>
          <w:color w:val="444444"/>
        </w:rPr>
        <w:t xml:space="preserve">  ·</w:t>
      </w:r>
      <w:proofErr w:type="gramEnd"/>
      <w:r>
        <w:rPr>
          <w:color w:val="444444"/>
        </w:rPr>
        <w:t xml:space="preserve">  Visit GRA.org to find your university representative</w:t>
      </w:r>
    </w:p>
    <w:sectPr w:rsidR="0092359F">
      <w:headerReference w:type="default" r:id="rId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02F3" w14:textId="77777777" w:rsidR="00FB6885" w:rsidRDefault="00FB6885">
      <w:r>
        <w:separator/>
      </w:r>
    </w:p>
  </w:endnote>
  <w:endnote w:type="continuationSeparator" w:id="0">
    <w:p w14:paraId="444A0469" w14:textId="77777777" w:rsidR="00FB6885" w:rsidRDefault="00FB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419D" w14:textId="77777777" w:rsidR="00FB6885" w:rsidRDefault="00FB6885">
      <w:r>
        <w:separator/>
      </w:r>
    </w:p>
  </w:footnote>
  <w:footnote w:type="continuationSeparator" w:id="0">
    <w:p w14:paraId="0F7FD927" w14:textId="77777777" w:rsidR="00FB6885" w:rsidRDefault="00FB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A7F1" w14:textId="77777777" w:rsidR="0092359F" w:rsidRDefault="00B50D86">
    <w:pPr>
      <w:pBdr>
        <w:bottom w:val="single" w:sz="6" w:space="0" w:color="009CDE"/>
      </w:pBdr>
      <w:tabs>
        <w:tab w:val="right" w:pos="9360"/>
      </w:tabs>
      <w:spacing w:after="80"/>
    </w:pPr>
    <w:r>
      <w:rPr>
        <w:b/>
        <w:bCs/>
        <w:color w:val="00243C"/>
        <w:sz w:val="18"/>
        <w:szCs w:val="18"/>
      </w:rPr>
      <w:t xml:space="preserve">GRA Innovation &amp; Entrepreneurship </w:t>
    </w:r>
    <w:proofErr w:type="gramStart"/>
    <w:r>
      <w:rPr>
        <w:b/>
        <w:bCs/>
        <w:color w:val="00243C"/>
        <w:sz w:val="18"/>
        <w:szCs w:val="18"/>
      </w:rPr>
      <w:t>Program  ·</w:t>
    </w:r>
    <w:proofErr w:type="gramEnd"/>
    <w:r>
      <w:rPr>
        <w:b/>
        <w:bCs/>
        <w:color w:val="00243C"/>
        <w:sz w:val="18"/>
        <w:szCs w:val="18"/>
      </w:rPr>
      <w:t xml:space="preserve">  Faculty Guide</w:t>
    </w:r>
    <w:r>
      <w:rPr>
        <w:sz w:val="18"/>
        <w:szCs w:val="18"/>
      </w:rPr>
      <w:tab/>
    </w:r>
    <w:r>
      <w:rPr>
        <w:color w:val="009CDE"/>
        <w:sz w:val="18"/>
        <w:szCs w:val="18"/>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0640D"/>
    <w:multiLevelType w:val="hybridMultilevel"/>
    <w:tmpl w:val="4204EB3C"/>
    <w:lvl w:ilvl="0" w:tplc="0198A5A4">
      <w:start w:val="1"/>
      <w:numFmt w:val="bullet"/>
      <w:lvlText w:val="●"/>
      <w:lvlJc w:val="left"/>
      <w:pPr>
        <w:ind w:left="720" w:hanging="360"/>
      </w:pPr>
    </w:lvl>
    <w:lvl w:ilvl="1" w:tplc="0A8C0C24">
      <w:start w:val="1"/>
      <w:numFmt w:val="bullet"/>
      <w:lvlText w:val="○"/>
      <w:lvlJc w:val="left"/>
      <w:pPr>
        <w:ind w:left="1440" w:hanging="360"/>
      </w:pPr>
    </w:lvl>
    <w:lvl w:ilvl="2" w:tplc="1594179C">
      <w:start w:val="1"/>
      <w:numFmt w:val="bullet"/>
      <w:lvlText w:val="■"/>
      <w:lvlJc w:val="left"/>
      <w:pPr>
        <w:ind w:left="2160" w:hanging="360"/>
      </w:pPr>
    </w:lvl>
    <w:lvl w:ilvl="3" w:tplc="0C1E5C5E">
      <w:start w:val="1"/>
      <w:numFmt w:val="bullet"/>
      <w:lvlText w:val="●"/>
      <w:lvlJc w:val="left"/>
      <w:pPr>
        <w:ind w:left="2880" w:hanging="360"/>
      </w:pPr>
    </w:lvl>
    <w:lvl w:ilvl="4" w:tplc="E72299D4">
      <w:start w:val="1"/>
      <w:numFmt w:val="bullet"/>
      <w:lvlText w:val="○"/>
      <w:lvlJc w:val="left"/>
      <w:pPr>
        <w:ind w:left="3600" w:hanging="360"/>
      </w:pPr>
    </w:lvl>
    <w:lvl w:ilvl="5" w:tplc="EFC4EB52">
      <w:start w:val="1"/>
      <w:numFmt w:val="bullet"/>
      <w:lvlText w:val="■"/>
      <w:lvlJc w:val="left"/>
      <w:pPr>
        <w:ind w:left="4320" w:hanging="360"/>
      </w:pPr>
    </w:lvl>
    <w:lvl w:ilvl="6" w:tplc="562C4E4C">
      <w:start w:val="1"/>
      <w:numFmt w:val="bullet"/>
      <w:lvlText w:val="●"/>
      <w:lvlJc w:val="left"/>
      <w:pPr>
        <w:ind w:left="5040" w:hanging="360"/>
      </w:pPr>
    </w:lvl>
    <w:lvl w:ilvl="7" w:tplc="1FD44F00">
      <w:start w:val="1"/>
      <w:numFmt w:val="bullet"/>
      <w:lvlText w:val="●"/>
      <w:lvlJc w:val="left"/>
      <w:pPr>
        <w:ind w:left="5760" w:hanging="360"/>
      </w:pPr>
    </w:lvl>
    <w:lvl w:ilvl="8" w:tplc="32344544">
      <w:start w:val="1"/>
      <w:numFmt w:val="bullet"/>
      <w:lvlText w:val="●"/>
      <w:lvlJc w:val="left"/>
      <w:pPr>
        <w:ind w:left="6480" w:hanging="360"/>
      </w:pPr>
    </w:lvl>
  </w:abstractNum>
  <w:abstractNum w:abstractNumId="1" w15:restartNumberingAfterBreak="0">
    <w:nsid w:val="3BAD236F"/>
    <w:multiLevelType w:val="hybridMultilevel"/>
    <w:tmpl w:val="0B1C7BC6"/>
    <w:lvl w:ilvl="0" w:tplc="F8882454">
      <w:start w:val="1"/>
      <w:numFmt w:val="bullet"/>
      <w:lvlText w:val="•"/>
      <w:lvlJc w:val="left"/>
      <w:pPr>
        <w:ind w:left="540" w:hanging="300"/>
      </w:pPr>
    </w:lvl>
    <w:lvl w:ilvl="1" w:tplc="23AA7DA2">
      <w:numFmt w:val="decimal"/>
      <w:lvlText w:val=""/>
      <w:lvlJc w:val="left"/>
    </w:lvl>
    <w:lvl w:ilvl="2" w:tplc="3B021BE0">
      <w:numFmt w:val="decimal"/>
      <w:lvlText w:val=""/>
      <w:lvlJc w:val="left"/>
    </w:lvl>
    <w:lvl w:ilvl="3" w:tplc="E3A4AF8A">
      <w:numFmt w:val="decimal"/>
      <w:lvlText w:val=""/>
      <w:lvlJc w:val="left"/>
    </w:lvl>
    <w:lvl w:ilvl="4" w:tplc="E77AF684">
      <w:numFmt w:val="decimal"/>
      <w:lvlText w:val=""/>
      <w:lvlJc w:val="left"/>
    </w:lvl>
    <w:lvl w:ilvl="5" w:tplc="E738EF72">
      <w:numFmt w:val="decimal"/>
      <w:lvlText w:val=""/>
      <w:lvlJc w:val="left"/>
    </w:lvl>
    <w:lvl w:ilvl="6" w:tplc="97446F3E">
      <w:numFmt w:val="decimal"/>
      <w:lvlText w:val=""/>
      <w:lvlJc w:val="left"/>
    </w:lvl>
    <w:lvl w:ilvl="7" w:tplc="289403E2">
      <w:numFmt w:val="decimal"/>
      <w:lvlText w:val=""/>
      <w:lvlJc w:val="left"/>
    </w:lvl>
    <w:lvl w:ilvl="8" w:tplc="3C6E9272">
      <w:numFmt w:val="decimal"/>
      <w:lvlText w:val=""/>
      <w:lvlJc w:val="left"/>
    </w:lvl>
  </w:abstractNum>
  <w:num w:numId="1" w16cid:durableId="178398190">
    <w:abstractNumId w:val="0"/>
    <w:lvlOverride w:ilvl="0">
      <w:startOverride w:val="1"/>
    </w:lvlOverride>
  </w:num>
  <w:num w:numId="2" w16cid:durableId="15011203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59F"/>
    <w:rsid w:val="000264E6"/>
    <w:rsid w:val="00084A38"/>
    <w:rsid w:val="000B0071"/>
    <w:rsid w:val="000D2A5B"/>
    <w:rsid w:val="000D68B1"/>
    <w:rsid w:val="000E51A9"/>
    <w:rsid w:val="000E7D00"/>
    <w:rsid w:val="00117BDF"/>
    <w:rsid w:val="001404A1"/>
    <w:rsid w:val="001A0F63"/>
    <w:rsid w:val="001D471C"/>
    <w:rsid w:val="001D622E"/>
    <w:rsid w:val="001F0E65"/>
    <w:rsid w:val="002159BD"/>
    <w:rsid w:val="002167E7"/>
    <w:rsid w:val="002513F1"/>
    <w:rsid w:val="002539B0"/>
    <w:rsid w:val="00266C6B"/>
    <w:rsid w:val="002918EE"/>
    <w:rsid w:val="002B6E3A"/>
    <w:rsid w:val="002C09D2"/>
    <w:rsid w:val="002E3EFF"/>
    <w:rsid w:val="0030408D"/>
    <w:rsid w:val="003400A6"/>
    <w:rsid w:val="00343D35"/>
    <w:rsid w:val="00367E77"/>
    <w:rsid w:val="003A3337"/>
    <w:rsid w:val="003F0A0E"/>
    <w:rsid w:val="00411B19"/>
    <w:rsid w:val="00412FF7"/>
    <w:rsid w:val="00426B55"/>
    <w:rsid w:val="00433D4E"/>
    <w:rsid w:val="004D0FE8"/>
    <w:rsid w:val="004D2BFD"/>
    <w:rsid w:val="004E68E8"/>
    <w:rsid w:val="00501947"/>
    <w:rsid w:val="00521C98"/>
    <w:rsid w:val="00562944"/>
    <w:rsid w:val="00572EBF"/>
    <w:rsid w:val="00577B70"/>
    <w:rsid w:val="00583DA5"/>
    <w:rsid w:val="005C0608"/>
    <w:rsid w:val="005F7AB2"/>
    <w:rsid w:val="00620C1D"/>
    <w:rsid w:val="00635902"/>
    <w:rsid w:val="00660B1F"/>
    <w:rsid w:val="0068645C"/>
    <w:rsid w:val="006A1CE9"/>
    <w:rsid w:val="006A4BCD"/>
    <w:rsid w:val="006D0BFF"/>
    <w:rsid w:val="006D48DB"/>
    <w:rsid w:val="006E34C4"/>
    <w:rsid w:val="00714BB7"/>
    <w:rsid w:val="0073143C"/>
    <w:rsid w:val="007507D3"/>
    <w:rsid w:val="007A0E2B"/>
    <w:rsid w:val="007A35C7"/>
    <w:rsid w:val="007A441F"/>
    <w:rsid w:val="007C0F02"/>
    <w:rsid w:val="007C1799"/>
    <w:rsid w:val="007C6A18"/>
    <w:rsid w:val="007F6613"/>
    <w:rsid w:val="0080285B"/>
    <w:rsid w:val="00806D0C"/>
    <w:rsid w:val="00853CF1"/>
    <w:rsid w:val="00893B9C"/>
    <w:rsid w:val="008B29E3"/>
    <w:rsid w:val="008C08B8"/>
    <w:rsid w:val="008F4B31"/>
    <w:rsid w:val="0092359F"/>
    <w:rsid w:val="00965725"/>
    <w:rsid w:val="009814D3"/>
    <w:rsid w:val="009D5F5C"/>
    <w:rsid w:val="009D6779"/>
    <w:rsid w:val="009D7C7B"/>
    <w:rsid w:val="009F54EE"/>
    <w:rsid w:val="009F6151"/>
    <w:rsid w:val="00A0090D"/>
    <w:rsid w:val="00A0113B"/>
    <w:rsid w:val="00A11070"/>
    <w:rsid w:val="00A17CD1"/>
    <w:rsid w:val="00A20FC8"/>
    <w:rsid w:val="00A27D5F"/>
    <w:rsid w:val="00A324E1"/>
    <w:rsid w:val="00A53DA8"/>
    <w:rsid w:val="00A663AB"/>
    <w:rsid w:val="00A7665D"/>
    <w:rsid w:val="00AB688E"/>
    <w:rsid w:val="00B17FBA"/>
    <w:rsid w:val="00B34F70"/>
    <w:rsid w:val="00B4686D"/>
    <w:rsid w:val="00B50D86"/>
    <w:rsid w:val="00B52047"/>
    <w:rsid w:val="00B53F21"/>
    <w:rsid w:val="00B81466"/>
    <w:rsid w:val="00B830BA"/>
    <w:rsid w:val="00B936E6"/>
    <w:rsid w:val="00BA0953"/>
    <w:rsid w:val="00BA0D1F"/>
    <w:rsid w:val="00BA4832"/>
    <w:rsid w:val="00BA7B99"/>
    <w:rsid w:val="00BE53F3"/>
    <w:rsid w:val="00BF4CBB"/>
    <w:rsid w:val="00C166EA"/>
    <w:rsid w:val="00C3454C"/>
    <w:rsid w:val="00C533D8"/>
    <w:rsid w:val="00C81C2E"/>
    <w:rsid w:val="00C83B02"/>
    <w:rsid w:val="00CA1A1C"/>
    <w:rsid w:val="00CA5176"/>
    <w:rsid w:val="00CB6AE3"/>
    <w:rsid w:val="00CC04A9"/>
    <w:rsid w:val="00CC16F7"/>
    <w:rsid w:val="00CC1FC7"/>
    <w:rsid w:val="00CC494A"/>
    <w:rsid w:val="00CD7D34"/>
    <w:rsid w:val="00D12BE6"/>
    <w:rsid w:val="00D276D7"/>
    <w:rsid w:val="00D73EC6"/>
    <w:rsid w:val="00DC6CF2"/>
    <w:rsid w:val="00E0153D"/>
    <w:rsid w:val="00E021F8"/>
    <w:rsid w:val="00E17545"/>
    <w:rsid w:val="00E56A53"/>
    <w:rsid w:val="00E577CA"/>
    <w:rsid w:val="00E73101"/>
    <w:rsid w:val="00E979B6"/>
    <w:rsid w:val="00EA7B35"/>
    <w:rsid w:val="00EF0B76"/>
    <w:rsid w:val="00EF3723"/>
    <w:rsid w:val="00F31CAE"/>
    <w:rsid w:val="00F42D48"/>
    <w:rsid w:val="00F66509"/>
    <w:rsid w:val="00F824F6"/>
    <w:rsid w:val="00F8436E"/>
    <w:rsid w:val="00F973DB"/>
    <w:rsid w:val="00FB6885"/>
    <w:rsid w:val="00FC24FC"/>
    <w:rsid w:val="00FF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AA74A"/>
  <w15:docId w15:val="{DD65460C-421B-A04D-960C-6B7AE699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48DB"/>
    <w:pPr>
      <w:tabs>
        <w:tab w:val="center" w:pos="4680"/>
        <w:tab w:val="right" w:pos="9360"/>
      </w:tabs>
    </w:pPr>
  </w:style>
  <w:style w:type="character" w:customStyle="1" w:styleId="HeaderChar">
    <w:name w:val="Header Char"/>
    <w:basedOn w:val="DefaultParagraphFont"/>
    <w:link w:val="Header"/>
    <w:uiPriority w:val="99"/>
    <w:rsid w:val="006D48DB"/>
  </w:style>
  <w:style w:type="paragraph" w:styleId="Footer">
    <w:name w:val="footer"/>
    <w:basedOn w:val="Normal"/>
    <w:link w:val="FooterChar"/>
    <w:uiPriority w:val="99"/>
    <w:unhideWhenUsed/>
    <w:rsid w:val="006D48DB"/>
    <w:pPr>
      <w:tabs>
        <w:tab w:val="center" w:pos="4680"/>
        <w:tab w:val="right" w:pos="9360"/>
      </w:tabs>
    </w:pPr>
  </w:style>
  <w:style w:type="character" w:customStyle="1" w:styleId="FooterChar">
    <w:name w:val="Footer Char"/>
    <w:basedOn w:val="DefaultParagraphFont"/>
    <w:link w:val="Footer"/>
    <w:uiPriority w:val="99"/>
    <w:rsid w:val="006D48DB"/>
  </w:style>
  <w:style w:type="paragraph" w:styleId="Revision">
    <w:name w:val="Revision"/>
    <w:hidden/>
    <w:uiPriority w:val="99"/>
    <w:semiHidden/>
    <w:rsid w:val="00B17FBA"/>
  </w:style>
  <w:style w:type="character" w:styleId="CommentReference">
    <w:name w:val="annotation reference"/>
    <w:basedOn w:val="DefaultParagraphFont"/>
    <w:uiPriority w:val="99"/>
    <w:semiHidden/>
    <w:unhideWhenUsed/>
    <w:rsid w:val="007C6A18"/>
    <w:rPr>
      <w:sz w:val="16"/>
      <w:szCs w:val="16"/>
    </w:rPr>
  </w:style>
  <w:style w:type="paragraph" w:styleId="CommentText">
    <w:name w:val="annotation text"/>
    <w:basedOn w:val="Normal"/>
    <w:link w:val="CommentTextChar"/>
    <w:uiPriority w:val="99"/>
    <w:semiHidden/>
    <w:unhideWhenUsed/>
    <w:rsid w:val="007C6A18"/>
    <w:rPr>
      <w:sz w:val="20"/>
      <w:szCs w:val="20"/>
    </w:rPr>
  </w:style>
  <w:style w:type="character" w:customStyle="1" w:styleId="CommentTextChar">
    <w:name w:val="Comment Text Char"/>
    <w:basedOn w:val="DefaultParagraphFont"/>
    <w:link w:val="CommentText"/>
    <w:uiPriority w:val="99"/>
    <w:semiHidden/>
    <w:rsid w:val="007C6A18"/>
    <w:rPr>
      <w:sz w:val="20"/>
      <w:szCs w:val="20"/>
    </w:rPr>
  </w:style>
  <w:style w:type="paragraph" w:styleId="CommentSubject">
    <w:name w:val="annotation subject"/>
    <w:basedOn w:val="CommentText"/>
    <w:next w:val="CommentText"/>
    <w:link w:val="CommentSubjectChar"/>
    <w:uiPriority w:val="99"/>
    <w:semiHidden/>
    <w:unhideWhenUsed/>
    <w:rsid w:val="007C6A18"/>
    <w:rPr>
      <w:b/>
      <w:bCs/>
    </w:rPr>
  </w:style>
  <w:style w:type="character" w:customStyle="1" w:styleId="CommentSubjectChar">
    <w:name w:val="Comment Subject Char"/>
    <w:basedOn w:val="CommentTextChar"/>
    <w:link w:val="CommentSubject"/>
    <w:uiPriority w:val="99"/>
    <w:semiHidden/>
    <w:rsid w:val="007C6A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5a57c1-1a26-4af8-87e3-f8ca8c1c50d9" xsi:nil="true"/>
    <lcf76f155ced4ddcb4097134ff3c332f xmlns="f770f1c2-b32b-4886-ae07-4335490638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C4B3C494F6847AAB986D0AB1851ED" ma:contentTypeVersion="14" ma:contentTypeDescription="Create a new document." ma:contentTypeScope="" ma:versionID="842cfaca5a3fecd1ae57294a3a7e8fb6">
  <xsd:schema xmlns:xsd="http://www.w3.org/2001/XMLSchema" xmlns:xs="http://www.w3.org/2001/XMLSchema" xmlns:p="http://schemas.microsoft.com/office/2006/metadata/properties" xmlns:ns2="f770f1c2-b32b-4886-ae07-43354906388b" xmlns:ns3="8e5a57c1-1a26-4af8-87e3-f8ca8c1c50d9" targetNamespace="http://schemas.microsoft.com/office/2006/metadata/properties" ma:root="true" ma:fieldsID="1e32b0276c23b982b49e325afbda6ed1" ns2:_="" ns3:_="">
    <xsd:import namespace="f770f1c2-b32b-4886-ae07-43354906388b"/>
    <xsd:import namespace="8e5a57c1-1a26-4af8-87e3-f8ca8c1c5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f1c2-b32b-4886-ae07-433549063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a7604c-cde0-453d-824b-188b36406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a57c1-1a26-4af8-87e3-f8ca8c1c50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242c3-2d08-4cbb-b2bf-fc72d5d1dfdd}" ma:internalName="TaxCatchAll" ma:showField="CatchAllData" ma:web="8e5a57c1-1a26-4af8-87e3-f8ca8c1c5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791E5-F2E2-47EE-86E3-BF6A6C0C608A}">
  <ds:schemaRefs>
    <ds:schemaRef ds:uri="http://schemas.microsoft.com/sharepoint/v3/contenttype/forms"/>
  </ds:schemaRefs>
</ds:datastoreItem>
</file>

<file path=customXml/itemProps2.xml><?xml version="1.0" encoding="utf-8"?>
<ds:datastoreItem xmlns:ds="http://schemas.openxmlformats.org/officeDocument/2006/customXml" ds:itemID="{7C0CE4AC-B759-4DC8-9EF5-1BDEEF62F0E2}">
  <ds:schemaRefs>
    <ds:schemaRef ds:uri="http://schemas.microsoft.com/office/2006/metadata/properties"/>
    <ds:schemaRef ds:uri="http://schemas.microsoft.com/office/infopath/2007/PartnerControls"/>
    <ds:schemaRef ds:uri="8e5a57c1-1a26-4af8-87e3-f8ca8c1c50d9"/>
    <ds:schemaRef ds:uri="f770f1c2-b32b-4886-ae07-43354906388b"/>
  </ds:schemaRefs>
</ds:datastoreItem>
</file>

<file path=customXml/itemProps3.xml><?xml version="1.0" encoding="utf-8"?>
<ds:datastoreItem xmlns:ds="http://schemas.openxmlformats.org/officeDocument/2006/customXml" ds:itemID="{62E0974F-718D-4CCA-BDC4-C841FD365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f1c2-b32b-4886-ae07-43354906388b"/>
    <ds:schemaRef ds:uri="8e5a57c1-1a26-4af8-87e3-f8ca8c1c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1844</Words>
  <Characters>10369</Characters>
  <Application>Microsoft Office Word</Application>
  <DocSecurity>0</DocSecurity>
  <Lines>292</Lines>
  <Paragraphs>155</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Justin Burns</cp:lastModifiedBy>
  <cp:revision>6</cp:revision>
  <dcterms:created xsi:type="dcterms:W3CDTF">2026-03-17T17:31:00Z</dcterms:created>
  <dcterms:modified xsi:type="dcterms:W3CDTF">2026-03-17T18:37:00Z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0x010100E74C4B3C494F6847AAB986D0AB1851ED</vt:lpwstr>
  </property>
  <property fmtid="{D5CDD505-2E9C-101B-9397-08002B2CF9AE}" pid="3" name="MediaServiceImageTags">
    <vt:lpwstr/>
  </property>
  <property fmtid="{D5CDD505-2E9C-101B-9397-08002B2CF9AE}" pid="4" name="Order">
    <vt:r8>2123100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activity">
    <vt:lpwstr>{"FileActivityType":"9","FileActivityTimeStamp":"2026-03-16T17:42:26.053Z","FileActivityUsersOnPage":[{"DisplayName":"Andrew Short","Id":"andrew.short@gra.org"}],"FileActivityNavigationId":null}</vt:lpwstr>
  </property>
  <property fmtid="{D5CDD505-2E9C-101B-9397-08002B2CF9AE}" pid="10" name="_ExtendedDescription">
    <vt:lpwstr/>
  </property>
</Properties>
</file>