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1EB4" w14:textId="77777777" w:rsidR="00A30918" w:rsidRDefault="00894243">
      <w:pPr>
        <w:pBdr>
          <w:bottom w:val="single" w:sz="8" w:space="0" w:color="009CDE"/>
        </w:pBdr>
        <w:spacing w:before="160" w:after="60"/>
      </w:pPr>
      <w:r>
        <w:rPr>
          <w:b/>
          <w:bCs/>
          <w:color w:val="00243C"/>
          <w:sz w:val="40"/>
          <w:szCs w:val="40"/>
        </w:rPr>
        <w:t>University Representative Guide</w:t>
      </w:r>
    </w:p>
    <w:p w14:paraId="68481EB5" w14:textId="77777777" w:rsidR="00A30918" w:rsidRDefault="00894243">
      <w:pPr>
        <w:spacing w:before="60" w:after="200"/>
      </w:pPr>
      <w:r>
        <w:rPr>
          <w:i/>
          <w:iCs/>
          <w:color w:val="555555"/>
        </w:rPr>
        <w:t>GRA Innovation &amp; Entrepreneurship Program  ·  March 2026</w:t>
      </w:r>
    </w:p>
    <w:p w14:paraId="68481EB6" w14:textId="77777777" w:rsidR="00A30918" w:rsidRDefault="00894243">
      <w:pPr>
        <w:keepNext/>
        <w:pBdr>
          <w:bottom w:val="single" w:sz="8" w:space="0" w:color="009CDE"/>
        </w:pBdr>
        <w:spacing w:before="260" w:after="100"/>
      </w:pPr>
      <w:r>
        <w:rPr>
          <w:b/>
          <w:bCs/>
          <w:color w:val="00243C"/>
          <w:sz w:val="26"/>
          <w:szCs w:val="26"/>
        </w:rPr>
        <w:t>Your Role as a University Representative</w:t>
      </w:r>
    </w:p>
    <w:p w14:paraId="68481EB9" w14:textId="77777777" w:rsidR="00A30918" w:rsidRPr="00EB0312" w:rsidRDefault="00894243" w:rsidP="00EB0312">
      <w:pPr>
        <w:spacing w:before="50" w:after="50"/>
        <w:ind w:left="360"/>
        <w:rPr>
          <w:b/>
          <w:bCs/>
        </w:rPr>
      </w:pPr>
      <w:r w:rsidRPr="00EB0312">
        <w:rPr>
          <w:b/>
          <w:bCs/>
        </w:rPr>
        <w:t>Identify promising opportunities</w:t>
      </w:r>
    </w:p>
    <w:p w14:paraId="68481EBA" w14:textId="77777777" w:rsidR="00A30918" w:rsidRDefault="00894243" w:rsidP="00EB0312">
      <w:pPr>
        <w:spacing w:before="60" w:after="60"/>
        <w:ind w:left="720"/>
      </w:pPr>
      <w:r w:rsidRPr="009E6EA3">
        <w:rPr>
          <w:color w:val="111111"/>
        </w:rPr>
        <w:t>Surface technologies that may benefit from translational funding. As you work through invention disclosures and with research teams, flag projects that look like good GRA candidates. Do not wait for faculty to self-identify.</w:t>
      </w:r>
    </w:p>
    <w:p w14:paraId="68481EBB" w14:textId="77777777" w:rsidR="00A30918" w:rsidRPr="00EB0312" w:rsidRDefault="00894243" w:rsidP="00EB0312">
      <w:pPr>
        <w:spacing w:before="50" w:after="50"/>
        <w:ind w:left="360"/>
        <w:rPr>
          <w:b/>
          <w:bCs/>
        </w:rPr>
      </w:pPr>
      <w:r w:rsidRPr="00EB0312">
        <w:rPr>
          <w:b/>
          <w:bCs/>
        </w:rPr>
        <w:t>Shape proposals before submission</w:t>
      </w:r>
    </w:p>
    <w:p w14:paraId="68481EBC" w14:textId="77777777" w:rsidR="00A30918" w:rsidRDefault="00894243" w:rsidP="00EB0312">
      <w:pPr>
        <w:spacing w:before="60" w:after="60"/>
        <w:ind w:left="720"/>
      </w:pPr>
      <w:r w:rsidRPr="009E6EA3">
        <w:rPr>
          <w:color w:val="111111"/>
        </w:rPr>
        <w:t>Work with investigators to clarify milestones, define the commercialization path, right-size the budget, and choose the appropriate grant type. Proposals you submit should already be vetted by you.</w:t>
      </w:r>
    </w:p>
    <w:p w14:paraId="68481EBD" w14:textId="77777777" w:rsidR="00A30918" w:rsidRPr="00EB0312" w:rsidRDefault="00894243" w:rsidP="00EB0312">
      <w:pPr>
        <w:spacing w:before="50" w:after="50"/>
        <w:ind w:left="360"/>
        <w:rPr>
          <w:b/>
          <w:bCs/>
        </w:rPr>
      </w:pPr>
      <w:r w:rsidRPr="00EB0312">
        <w:rPr>
          <w:b/>
          <w:bCs/>
        </w:rPr>
        <w:t>Ensure alignment with program goals</w:t>
      </w:r>
    </w:p>
    <w:p w14:paraId="68481EBE" w14:textId="77777777" w:rsidR="00A30918" w:rsidRDefault="00894243" w:rsidP="00EB0312">
      <w:pPr>
        <w:spacing w:before="60" w:after="60"/>
        <w:ind w:left="720"/>
      </w:pPr>
      <w:r w:rsidRPr="009E6EA3">
        <w:rPr>
          <w:color w:val="111111"/>
        </w:rPr>
        <w:t>Help investigators understand what GRA does and doesn't fund. A proposal with tuition, capital equipment, or vague milestones should be corrected before it reaches us.</w:t>
      </w:r>
    </w:p>
    <w:p w14:paraId="68481EBF" w14:textId="77777777" w:rsidR="00A30918" w:rsidRPr="00EB0312" w:rsidRDefault="00894243" w:rsidP="00EB0312">
      <w:pPr>
        <w:spacing w:before="50" w:after="50"/>
        <w:ind w:left="360"/>
        <w:rPr>
          <w:b/>
          <w:bCs/>
        </w:rPr>
      </w:pPr>
      <w:r w:rsidRPr="00EB0312">
        <w:rPr>
          <w:b/>
          <w:bCs/>
        </w:rPr>
        <w:t>Provide institutional and team context</w:t>
      </w:r>
    </w:p>
    <w:p w14:paraId="68481EC0" w14:textId="77777777" w:rsidR="00A30918" w:rsidRDefault="00894243" w:rsidP="00EB0312">
      <w:pPr>
        <w:spacing w:before="60" w:after="60"/>
        <w:ind w:left="720"/>
      </w:pPr>
      <w:r w:rsidRPr="009E6EA3">
        <w:rPr>
          <w:color w:val="111111"/>
        </w:rPr>
        <w:t>Share insight on team dynamics, commercialization readiness, IP status, and any institutional factors that may affect a project. You see things we can't see from a proposal alone.</w:t>
      </w:r>
    </w:p>
    <w:p w14:paraId="68481EC1" w14:textId="77777777" w:rsidR="00A30918" w:rsidRPr="00EB0312" w:rsidRDefault="00894243" w:rsidP="00EB0312">
      <w:pPr>
        <w:spacing w:before="50" w:after="50"/>
        <w:ind w:left="360"/>
        <w:rPr>
          <w:b/>
          <w:bCs/>
        </w:rPr>
      </w:pPr>
      <w:r w:rsidRPr="00EB0312">
        <w:rPr>
          <w:b/>
          <w:bCs/>
        </w:rPr>
        <w:t>Keep the ecosystem connected</w:t>
      </w:r>
    </w:p>
    <w:p w14:paraId="68481EC2" w14:textId="77777777" w:rsidR="00A30918" w:rsidRDefault="00894243" w:rsidP="00EB0312">
      <w:pPr>
        <w:spacing w:before="60" w:after="60"/>
        <w:ind w:left="720"/>
      </w:pPr>
      <w:r w:rsidRPr="009E6EA3">
        <w:rPr>
          <w:color w:val="111111"/>
        </w:rPr>
        <w:t>Share updates on invention disclosures, startup activity, new translational programs, and commercialization successes. If GRA funding or network connections could help, let us know. We want to be engaged.</w:t>
      </w:r>
    </w:p>
    <w:p w14:paraId="68481EC3" w14:textId="77777777" w:rsidR="00A30918" w:rsidRPr="00EB0312" w:rsidRDefault="00894243" w:rsidP="00EB0312">
      <w:pPr>
        <w:spacing w:before="50" w:after="50"/>
        <w:ind w:left="360"/>
        <w:rPr>
          <w:b/>
          <w:bCs/>
        </w:rPr>
      </w:pPr>
      <w:r w:rsidRPr="00EB0312">
        <w:rPr>
          <w:b/>
          <w:bCs/>
        </w:rPr>
        <w:t>Flag anything that needs a conversation</w:t>
      </w:r>
    </w:p>
    <w:p w14:paraId="68481EC4" w14:textId="77777777" w:rsidR="00A30918" w:rsidRPr="00EB0312" w:rsidRDefault="00894243" w:rsidP="00EB0312">
      <w:pPr>
        <w:spacing w:before="60" w:after="60"/>
        <w:ind w:left="720"/>
        <w:rPr>
          <w:color w:val="111111"/>
        </w:rPr>
      </w:pPr>
      <w:r w:rsidRPr="00EB0312">
        <w:rPr>
          <w:color w:val="111111"/>
        </w:rPr>
        <w:t>If something feels off about a project, a team, a budget, or an IP situation, reach out before submission. We would rather talk it through early than send a rejection later.</w:t>
      </w:r>
    </w:p>
    <w:p w14:paraId="68481EC5" w14:textId="77777777" w:rsidR="00A30918" w:rsidRDefault="00894243">
      <w:pPr>
        <w:keepNext/>
        <w:pBdr>
          <w:bottom w:val="single" w:sz="8" w:space="0" w:color="009CDE"/>
        </w:pBdr>
        <w:spacing w:before="260" w:after="100"/>
      </w:pPr>
      <w:r>
        <w:rPr>
          <w:b/>
          <w:bCs/>
          <w:color w:val="00243C"/>
          <w:sz w:val="26"/>
          <w:szCs w:val="26"/>
        </w:rPr>
        <w:t>Pre-Submission Checklist</w:t>
      </w:r>
    </w:p>
    <w:p w14:paraId="68481EC7" w14:textId="0753E05A" w:rsidR="00A30918" w:rsidRDefault="00894243" w:rsidP="00841BF1">
      <w:pPr>
        <w:spacing w:before="60" w:after="60"/>
      </w:pPr>
      <w:r>
        <w:rPr>
          <w:color w:val="111111"/>
        </w:rPr>
        <w:t xml:space="preserve">Before sending a proposal to GRA, </w:t>
      </w:r>
      <w:r w:rsidR="00EC4E61">
        <w:rPr>
          <w:color w:val="111111"/>
        </w:rPr>
        <w:t xml:space="preserve">please </w:t>
      </w:r>
      <w:r>
        <w:rPr>
          <w:color w:val="111111"/>
        </w:rPr>
        <w:t>work through these items. Catching them now saves everyone time.</w:t>
      </w:r>
    </w:p>
    <w:p w14:paraId="68481EC8" w14:textId="77777777" w:rsidR="00A30918" w:rsidRDefault="00894243">
      <w:pPr>
        <w:keepNext/>
        <w:spacing w:before="120" w:after="40"/>
      </w:pPr>
      <w:r>
        <w:rPr>
          <w:b/>
          <w:bCs/>
          <w:color w:val="009CDE"/>
        </w:rPr>
        <w:t>Grant type</w:t>
      </w:r>
    </w:p>
    <w:p w14:paraId="299F3FAC" w14:textId="77F481DE" w:rsidR="007964CB" w:rsidRPr="00841BF1" w:rsidRDefault="000A2E1C" w:rsidP="00841BF1">
      <w:pPr>
        <w:pStyle w:val="ListParagraph"/>
        <w:numPr>
          <w:ilvl w:val="0"/>
          <w:numId w:val="5"/>
        </w:numPr>
        <w:spacing w:before="50" w:after="50"/>
        <w:rPr>
          <w:color w:val="333333"/>
        </w:rPr>
      </w:pPr>
      <w:r>
        <w:t>Is this the right grant type?</w:t>
      </w:r>
    </w:p>
    <w:p w14:paraId="4B3F87BD" w14:textId="77777777" w:rsidR="007964CB" w:rsidRPr="00F6094E" w:rsidRDefault="00894243" w:rsidP="00841BF1">
      <w:pPr>
        <w:pStyle w:val="ListParagraph"/>
        <w:numPr>
          <w:ilvl w:val="1"/>
          <w:numId w:val="5"/>
        </w:numPr>
        <w:spacing w:before="60" w:after="60"/>
      </w:pPr>
      <w:r w:rsidRPr="00841BF1">
        <w:rPr>
          <w:color w:val="333333"/>
        </w:rPr>
        <w:t xml:space="preserve">Exploratory </w:t>
      </w:r>
      <w:bookmarkStart w:id="0" w:name="_Hlk224743947"/>
      <w:r w:rsidRPr="00841BF1">
        <w:rPr>
          <w:color w:val="333333"/>
        </w:rPr>
        <w:t>(up to $10K, rolling submission): focused go/no-go question about technical feasibility, early customer discovery, or lightweight whitespace analysis. No salary support.</w:t>
      </w:r>
    </w:p>
    <w:bookmarkEnd w:id="0"/>
    <w:p w14:paraId="68481ECA" w14:textId="66A651CC" w:rsidR="00A30918" w:rsidRDefault="00894243" w:rsidP="00841BF1">
      <w:pPr>
        <w:pStyle w:val="ListParagraph"/>
        <w:numPr>
          <w:ilvl w:val="1"/>
          <w:numId w:val="5"/>
        </w:numPr>
        <w:spacing w:before="60" w:after="60"/>
      </w:pPr>
      <w:r w:rsidRPr="00841BF1">
        <w:rPr>
          <w:color w:val="333333"/>
        </w:rPr>
        <w:t>Development (up to $250K, 6 review cycles/year): advancement toward commercialization or startup formation through a defined set of milestones. This is the primary funding engine.</w:t>
      </w:r>
    </w:p>
    <w:p w14:paraId="68481ECB" w14:textId="738A2920" w:rsidR="00A30918" w:rsidRDefault="000A2E1C" w:rsidP="00841BF1">
      <w:pPr>
        <w:pStyle w:val="ListParagraph"/>
        <w:numPr>
          <w:ilvl w:val="0"/>
          <w:numId w:val="5"/>
        </w:numPr>
        <w:spacing w:before="50" w:after="50"/>
      </w:pPr>
      <w:r>
        <w:t>Is Exploratory truly needed, or can the project enter directly at Development?</w:t>
      </w:r>
    </w:p>
    <w:p w14:paraId="68481ECD" w14:textId="2318B7F0" w:rsidR="00A30918" w:rsidRDefault="00894243" w:rsidP="00841BF1">
      <w:pPr>
        <w:spacing w:before="80" w:after="80"/>
        <w:ind w:left="180" w:right="180"/>
      </w:pPr>
      <w:r>
        <w:rPr>
          <w:i/>
          <w:iCs/>
          <w:color w:val="444444"/>
          <w:sz w:val="20"/>
          <w:szCs w:val="20"/>
        </w:rPr>
        <w:t>Exploratory is optional. If the project already has validated signal and a clear next set of milestones defined, start at Development.</w:t>
      </w:r>
    </w:p>
    <w:p w14:paraId="68481ECE" w14:textId="77777777" w:rsidR="00A30918" w:rsidRDefault="00894243">
      <w:pPr>
        <w:keepNext/>
        <w:spacing w:before="120" w:after="40"/>
      </w:pPr>
      <w:r>
        <w:rPr>
          <w:b/>
          <w:bCs/>
          <w:color w:val="009CDE"/>
        </w:rPr>
        <w:lastRenderedPageBreak/>
        <w:t>Milestones</w:t>
      </w:r>
    </w:p>
    <w:p w14:paraId="68481ECF" w14:textId="29E7060A" w:rsidR="00A30918" w:rsidRDefault="00124221" w:rsidP="00841BF1">
      <w:pPr>
        <w:pStyle w:val="ListParagraph"/>
        <w:numPr>
          <w:ilvl w:val="0"/>
          <w:numId w:val="6"/>
        </w:numPr>
        <w:spacing w:before="50" w:after="50"/>
      </w:pPr>
      <w:r>
        <w:t>Are the milestones objective and measurable?</w:t>
      </w:r>
    </w:p>
    <w:p w14:paraId="68481ED0" w14:textId="777D3A21" w:rsidR="00A30918" w:rsidRDefault="00124221" w:rsidP="00841BF1">
      <w:pPr>
        <w:pStyle w:val="ListParagraph"/>
        <w:numPr>
          <w:ilvl w:val="0"/>
          <w:numId w:val="6"/>
        </w:numPr>
        <w:spacing w:before="50" w:after="50"/>
      </w:pPr>
      <w:r>
        <w:t>Do they demonstrate comparative advantage over existing solutions?</w:t>
      </w:r>
    </w:p>
    <w:p w14:paraId="68481ED1" w14:textId="7933027E" w:rsidR="00A30918" w:rsidRDefault="00124221" w:rsidP="00841BF1">
      <w:pPr>
        <w:pStyle w:val="ListParagraph"/>
        <w:numPr>
          <w:ilvl w:val="0"/>
          <w:numId w:val="6"/>
        </w:numPr>
        <w:spacing w:before="50" w:after="50"/>
      </w:pPr>
      <w:r>
        <w:t>Do they generate evidence relevant to a commercial decision?</w:t>
      </w:r>
    </w:p>
    <w:p w14:paraId="68481ED2" w14:textId="74F73602" w:rsidR="00A30918" w:rsidRDefault="00066468" w:rsidP="00841BF1">
      <w:pPr>
        <w:pStyle w:val="ListParagraph"/>
        <w:numPr>
          <w:ilvl w:val="0"/>
          <w:numId w:val="6"/>
        </w:numPr>
        <w:spacing w:before="50" w:after="50"/>
      </w:pPr>
      <w:r w:rsidRPr="00841BF1">
        <w:rPr>
          <w:color w:val="000000" w:themeColor="text1"/>
        </w:rPr>
        <w:t>I</w:t>
      </w:r>
      <w:r w:rsidR="00124221">
        <w:t>s there a clear go/no-go outcome for the set of work?</w:t>
      </w:r>
    </w:p>
    <w:p w14:paraId="68481ED3" w14:textId="1EDC43DC" w:rsidR="00A30918" w:rsidRDefault="00124221" w:rsidP="00841BF1">
      <w:pPr>
        <w:pStyle w:val="ListParagraph"/>
        <w:numPr>
          <w:ilvl w:val="0"/>
          <w:numId w:val="6"/>
        </w:numPr>
        <w:spacing w:before="50" w:after="50"/>
      </w:pPr>
      <w:r>
        <w:t>Do the milestones together answer: what makes this investable?</w:t>
      </w:r>
    </w:p>
    <w:p w14:paraId="68481ED4" w14:textId="1427F186" w:rsidR="00A30918" w:rsidRDefault="00894243" w:rsidP="00F42551">
      <w:pPr>
        <w:spacing w:before="80" w:after="80"/>
        <w:ind w:right="180"/>
      </w:pPr>
      <w:r>
        <w:rPr>
          <w:i/>
          <w:iCs/>
          <w:color w:val="444444"/>
          <w:sz w:val="20"/>
          <w:szCs w:val="20"/>
        </w:rPr>
        <w:t xml:space="preserve">If a reviewer cannot tell from the </w:t>
      </w:r>
      <w:r w:rsidR="009341E2">
        <w:rPr>
          <w:i/>
          <w:iCs/>
          <w:color w:val="444444"/>
          <w:sz w:val="20"/>
          <w:szCs w:val="20"/>
        </w:rPr>
        <w:t xml:space="preserve">deliverables </w:t>
      </w:r>
      <w:r>
        <w:rPr>
          <w:i/>
          <w:iCs/>
          <w:color w:val="444444"/>
          <w:sz w:val="20"/>
          <w:szCs w:val="20"/>
        </w:rPr>
        <w:t>whether the</w:t>
      </w:r>
      <w:r w:rsidR="009341E2">
        <w:rPr>
          <w:i/>
          <w:iCs/>
          <w:color w:val="444444"/>
          <w:sz w:val="20"/>
          <w:szCs w:val="20"/>
        </w:rPr>
        <w:t xml:space="preserve"> milestones</w:t>
      </w:r>
      <w:r>
        <w:rPr>
          <w:i/>
          <w:iCs/>
          <w:color w:val="444444"/>
          <w:sz w:val="20"/>
          <w:szCs w:val="20"/>
        </w:rPr>
        <w:t xml:space="preserve"> were met, the proposal is not ready.</w:t>
      </w:r>
    </w:p>
    <w:p w14:paraId="68481ED5" w14:textId="77777777" w:rsidR="00A30918" w:rsidRDefault="00A30918">
      <w:pPr>
        <w:spacing w:before="60"/>
      </w:pPr>
    </w:p>
    <w:p w14:paraId="68481ED6" w14:textId="77777777" w:rsidR="00A30918" w:rsidRDefault="00894243">
      <w:pPr>
        <w:keepNext/>
        <w:spacing w:before="120" w:after="40"/>
      </w:pPr>
      <w:r>
        <w:rPr>
          <w:b/>
          <w:bCs/>
          <w:color w:val="009CDE"/>
        </w:rPr>
        <w:t>Budget</w:t>
      </w:r>
    </w:p>
    <w:p w14:paraId="68481ED7" w14:textId="08838A42" w:rsidR="00A30918" w:rsidRDefault="00124221" w:rsidP="00841BF1">
      <w:pPr>
        <w:pStyle w:val="ListParagraph"/>
        <w:numPr>
          <w:ilvl w:val="0"/>
          <w:numId w:val="7"/>
        </w:numPr>
        <w:spacing w:before="50" w:after="50"/>
      </w:pPr>
      <w:r>
        <w:t>Is the budget right-sized to the milestones, not written to the cap?</w:t>
      </w:r>
    </w:p>
    <w:p w14:paraId="68481ED8" w14:textId="31606C63" w:rsidR="008E40B7" w:rsidRDefault="008E40B7" w:rsidP="008E40B7">
      <w:pPr>
        <w:spacing w:before="80" w:after="80"/>
        <w:ind w:right="180"/>
      </w:pPr>
      <w:r w:rsidRPr="00841BF1">
        <w:rPr>
          <w:i/>
          <w:iCs/>
          <w:color w:val="444444"/>
          <w:sz w:val="20"/>
          <w:szCs w:val="20"/>
        </w:rPr>
        <w:t>Faculty will write to $250K if that's what they hear. Help them propose what the milestones actually require.</w:t>
      </w:r>
    </w:p>
    <w:p w14:paraId="65353BAB" w14:textId="77777777" w:rsidR="008E40B7" w:rsidRPr="00841BF1" w:rsidRDefault="008E40B7" w:rsidP="008E40B7">
      <w:pPr>
        <w:pStyle w:val="ListParagraph"/>
        <w:numPr>
          <w:ilvl w:val="0"/>
          <w:numId w:val="7"/>
        </w:numPr>
        <w:spacing w:before="50" w:after="50"/>
      </w:pPr>
      <w:r>
        <w:t xml:space="preserve">Are prohibited items removed? </w:t>
      </w:r>
      <w:r w:rsidRPr="00841BF1">
        <w:rPr>
          <w:color w:val="333333"/>
        </w:rPr>
        <w:t xml:space="preserve">Not allowed: </w:t>
      </w:r>
    </w:p>
    <w:p w14:paraId="363B7BD6" w14:textId="77777777" w:rsidR="00841BF1" w:rsidRPr="00841BF1" w:rsidRDefault="00894243" w:rsidP="00841BF1">
      <w:pPr>
        <w:pStyle w:val="ListParagraph"/>
        <w:numPr>
          <w:ilvl w:val="1"/>
          <w:numId w:val="7"/>
        </w:numPr>
        <w:spacing w:before="50" w:after="50"/>
      </w:pPr>
      <w:r w:rsidRPr="00841BF1">
        <w:rPr>
          <w:color w:val="333333"/>
        </w:rPr>
        <w:t xml:space="preserve">student tuition </w:t>
      </w:r>
    </w:p>
    <w:p w14:paraId="1A9F0747" w14:textId="77777777" w:rsidR="00841BF1" w:rsidRPr="00841BF1" w:rsidRDefault="00894243" w:rsidP="00841BF1">
      <w:pPr>
        <w:pStyle w:val="ListParagraph"/>
        <w:numPr>
          <w:ilvl w:val="1"/>
          <w:numId w:val="7"/>
        </w:numPr>
        <w:spacing w:before="50" w:after="50"/>
      </w:pPr>
      <w:r w:rsidRPr="00841BF1">
        <w:rPr>
          <w:color w:val="333333"/>
        </w:rPr>
        <w:t xml:space="preserve">routine basic research </w:t>
      </w:r>
    </w:p>
    <w:p w14:paraId="3ACE6C2A" w14:textId="77777777" w:rsidR="00841BF1" w:rsidRPr="00841BF1" w:rsidRDefault="00894243" w:rsidP="00841BF1">
      <w:pPr>
        <w:pStyle w:val="ListParagraph"/>
        <w:numPr>
          <w:ilvl w:val="1"/>
          <w:numId w:val="7"/>
        </w:numPr>
        <w:spacing w:before="50" w:after="50"/>
      </w:pPr>
      <w:r w:rsidRPr="00841BF1">
        <w:rPr>
          <w:color w:val="333333"/>
        </w:rPr>
        <w:t xml:space="preserve">large capital equipment </w:t>
      </w:r>
    </w:p>
    <w:p w14:paraId="33DBA9EB" w14:textId="77777777" w:rsidR="00841BF1" w:rsidRPr="00841BF1" w:rsidRDefault="00894243" w:rsidP="00841BF1">
      <w:pPr>
        <w:pStyle w:val="ListParagraph"/>
        <w:numPr>
          <w:ilvl w:val="1"/>
          <w:numId w:val="7"/>
        </w:numPr>
        <w:spacing w:before="50" w:after="50"/>
      </w:pPr>
      <w:r w:rsidRPr="00841BF1">
        <w:rPr>
          <w:color w:val="333333"/>
        </w:rPr>
        <w:t xml:space="preserve">salary for investigators with equity or officer roles in the associated startup </w:t>
      </w:r>
    </w:p>
    <w:p w14:paraId="68481EDA" w14:textId="1423936E" w:rsidR="00A30918" w:rsidRDefault="00894243" w:rsidP="00841BF1">
      <w:pPr>
        <w:pStyle w:val="ListParagraph"/>
        <w:numPr>
          <w:ilvl w:val="1"/>
          <w:numId w:val="7"/>
        </w:numPr>
        <w:spacing w:before="50" w:after="50"/>
      </w:pPr>
      <w:r w:rsidRPr="00841BF1">
        <w:rPr>
          <w:color w:val="333333"/>
        </w:rPr>
        <w:t>startup marketing, branding, or operations.</w:t>
      </w:r>
    </w:p>
    <w:p w14:paraId="68481EDB" w14:textId="244A49BB" w:rsidR="00A30918" w:rsidRDefault="00124221" w:rsidP="00841BF1">
      <w:pPr>
        <w:pStyle w:val="ListParagraph"/>
        <w:numPr>
          <w:ilvl w:val="0"/>
          <w:numId w:val="7"/>
        </w:numPr>
        <w:spacing w:before="50" w:after="50"/>
      </w:pPr>
      <w:r>
        <w:t>Does every major budget line tie directly to a milestone?</w:t>
      </w:r>
    </w:p>
    <w:p w14:paraId="68481EDC" w14:textId="3C587E7E" w:rsidR="00A30918" w:rsidRDefault="00124221" w:rsidP="00841BF1">
      <w:pPr>
        <w:pStyle w:val="ListParagraph"/>
        <w:numPr>
          <w:ilvl w:val="0"/>
          <w:numId w:val="7"/>
        </w:numPr>
        <w:spacing w:before="50" w:after="50"/>
      </w:pPr>
      <w:r>
        <w:t>If the budget is large (near $250K), has GRA been consulted in advance?</w:t>
      </w:r>
    </w:p>
    <w:p w14:paraId="68481EDD" w14:textId="77777777" w:rsidR="00A30918" w:rsidRDefault="00894243" w:rsidP="00841BF1">
      <w:pPr>
        <w:spacing w:before="80" w:after="80"/>
        <w:ind w:right="180"/>
      </w:pPr>
      <w:r w:rsidRPr="00841BF1">
        <w:rPr>
          <w:i/>
          <w:iCs/>
          <w:color w:val="444444"/>
          <w:sz w:val="20"/>
          <w:szCs w:val="20"/>
        </w:rPr>
        <w:t>For larger proposals, reach out before submission. GRA may fund a subset of milestones or structure the award in tranches.</w:t>
      </w:r>
    </w:p>
    <w:p w14:paraId="68481EDE" w14:textId="77777777" w:rsidR="00A30918" w:rsidRDefault="00A30918">
      <w:pPr>
        <w:spacing w:before="60"/>
      </w:pPr>
    </w:p>
    <w:p w14:paraId="68481EDF" w14:textId="77777777" w:rsidR="00A30918" w:rsidRDefault="00894243">
      <w:pPr>
        <w:keepNext/>
        <w:spacing w:before="120" w:after="40"/>
      </w:pPr>
      <w:r>
        <w:rPr>
          <w:b/>
          <w:bCs/>
          <w:color w:val="009CDE"/>
        </w:rPr>
        <w:t>IP and licensing</w:t>
      </w:r>
    </w:p>
    <w:p w14:paraId="68481EE0" w14:textId="054471F7" w:rsidR="00A30918" w:rsidRDefault="00124221" w:rsidP="00841BF1">
      <w:pPr>
        <w:pStyle w:val="ListParagraph"/>
        <w:numPr>
          <w:ilvl w:val="0"/>
          <w:numId w:val="8"/>
        </w:numPr>
        <w:spacing w:before="50" w:after="50"/>
      </w:pPr>
      <w:r>
        <w:t>Is there an active patent, provisional, or invention disclosure on file?</w:t>
      </w:r>
    </w:p>
    <w:p w14:paraId="68481EE1" w14:textId="455CED81" w:rsidR="00A30918" w:rsidRDefault="00124221" w:rsidP="00841BF1">
      <w:pPr>
        <w:pStyle w:val="ListParagraph"/>
        <w:numPr>
          <w:ilvl w:val="0"/>
          <w:numId w:val="8"/>
        </w:numPr>
        <w:spacing w:before="50" w:after="50"/>
      </w:pPr>
      <w:r>
        <w:t>Does the university control the IP, or has it been licensed or optioned?</w:t>
      </w:r>
    </w:p>
    <w:p w14:paraId="68481EE2" w14:textId="019B9A3F" w:rsidR="00A30918" w:rsidRDefault="00124221" w:rsidP="00841BF1">
      <w:pPr>
        <w:pStyle w:val="ListParagraph"/>
        <w:numPr>
          <w:ilvl w:val="0"/>
          <w:numId w:val="8"/>
        </w:numPr>
        <w:spacing w:before="50" w:after="50"/>
      </w:pPr>
      <w:r>
        <w:t>If a license or option exists: does it include rights to future improvements?</w:t>
      </w:r>
    </w:p>
    <w:p w14:paraId="68481EE3" w14:textId="77777777" w:rsidR="00A30918" w:rsidRDefault="00894243" w:rsidP="00841BF1">
      <w:pPr>
        <w:spacing w:before="80" w:after="80"/>
        <w:ind w:right="180"/>
      </w:pPr>
      <w:r w:rsidRPr="00841BF1">
        <w:rPr>
          <w:i/>
          <w:iCs/>
          <w:color w:val="444444"/>
          <w:sz w:val="20"/>
          <w:szCs w:val="20"/>
        </w:rPr>
        <w:t>If the company controls improvements from university work, GRA may not be able to fund that work. Engage the licensing team early.</w:t>
      </w:r>
    </w:p>
    <w:p w14:paraId="68481EE4" w14:textId="5A517476" w:rsidR="00A30918" w:rsidRDefault="00124221" w:rsidP="00841BF1">
      <w:pPr>
        <w:pStyle w:val="ListParagraph"/>
        <w:numPr>
          <w:ilvl w:val="0"/>
          <w:numId w:val="8"/>
        </w:numPr>
        <w:spacing w:before="50" w:after="50"/>
      </w:pPr>
      <w:r>
        <w:t>Are there multi-institution inventors or sponsored research obligations that affect ownership?</w:t>
      </w:r>
    </w:p>
    <w:p w14:paraId="68481EE5" w14:textId="1C2C2D33" w:rsidR="00A30918" w:rsidRDefault="00124221" w:rsidP="00841BF1">
      <w:pPr>
        <w:pStyle w:val="ListParagraph"/>
        <w:numPr>
          <w:ilvl w:val="0"/>
          <w:numId w:val="8"/>
        </w:numPr>
        <w:spacing w:before="50" w:after="50"/>
      </w:pPr>
      <w:r>
        <w:t>Is the licensing team aware of the submission?</w:t>
      </w:r>
    </w:p>
    <w:p w14:paraId="68481EE6" w14:textId="77777777" w:rsidR="00A30918" w:rsidRDefault="00A30918">
      <w:pPr>
        <w:spacing w:before="60"/>
      </w:pPr>
    </w:p>
    <w:p w14:paraId="68481EE7" w14:textId="77777777" w:rsidR="00A30918" w:rsidRDefault="00894243">
      <w:pPr>
        <w:keepNext/>
        <w:spacing w:before="120" w:after="40"/>
      </w:pPr>
      <w:r>
        <w:rPr>
          <w:b/>
          <w:bCs/>
          <w:color w:val="009CDE"/>
        </w:rPr>
        <w:t>Team and project readiness</w:t>
      </w:r>
    </w:p>
    <w:p w14:paraId="68481EE8" w14:textId="5E6D550F" w:rsidR="00A30918" w:rsidRDefault="00124221" w:rsidP="00841BF1">
      <w:pPr>
        <w:pStyle w:val="ListParagraph"/>
        <w:numPr>
          <w:ilvl w:val="0"/>
          <w:numId w:val="9"/>
        </w:numPr>
        <w:spacing w:before="50" w:after="50"/>
      </w:pPr>
      <w:r>
        <w:t>Is the team likely to execute within the proposed timeline?</w:t>
      </w:r>
    </w:p>
    <w:p w14:paraId="68481EE9" w14:textId="19415CE2" w:rsidR="00A30918" w:rsidRDefault="00124221" w:rsidP="00841BF1">
      <w:pPr>
        <w:pStyle w:val="ListParagraph"/>
        <w:numPr>
          <w:ilvl w:val="0"/>
          <w:numId w:val="9"/>
        </w:numPr>
        <w:spacing w:before="50" w:after="50"/>
      </w:pPr>
      <w:r>
        <w:t>If personnel need to be hired, is there a plan to have them on board before the grant period starts?</w:t>
      </w:r>
    </w:p>
    <w:p w14:paraId="68481EEA" w14:textId="77777777" w:rsidR="00A30918" w:rsidRDefault="00894243" w:rsidP="00481CCD">
      <w:pPr>
        <w:spacing w:before="80" w:after="80"/>
        <w:ind w:right="180"/>
      </w:pPr>
      <w:r>
        <w:rPr>
          <w:i/>
          <w:iCs/>
          <w:color w:val="444444"/>
          <w:sz w:val="20"/>
          <w:szCs w:val="20"/>
        </w:rPr>
        <w:t>Hiring delays are the most common reason for extension requests. Don't assume the student will be enrolled or the postdoc hired on day one.</w:t>
      </w:r>
    </w:p>
    <w:p w14:paraId="68481EEB" w14:textId="5AA65074" w:rsidR="00A30918" w:rsidRDefault="00124221" w:rsidP="00F42551">
      <w:pPr>
        <w:pStyle w:val="ListParagraph"/>
        <w:numPr>
          <w:ilvl w:val="0"/>
          <w:numId w:val="11"/>
        </w:numPr>
        <w:spacing w:before="50" w:after="50"/>
      </w:pPr>
      <w:r>
        <w:t>Have you identified any team dynamics, coaching challenges, or institutional constraints GRA should know about?</w:t>
      </w:r>
    </w:p>
    <w:p w14:paraId="68481EEC" w14:textId="77777777" w:rsidR="00A30918" w:rsidRDefault="00894243">
      <w:pPr>
        <w:keepNext/>
        <w:pBdr>
          <w:bottom w:val="single" w:sz="8" w:space="0" w:color="009CDE"/>
        </w:pBdr>
        <w:spacing w:before="260" w:after="100"/>
      </w:pPr>
      <w:r>
        <w:rPr>
          <w:b/>
          <w:bCs/>
          <w:color w:val="00243C"/>
          <w:sz w:val="26"/>
          <w:szCs w:val="26"/>
        </w:rPr>
        <w:lastRenderedPageBreak/>
        <w:t>Milestone Language: Strong vs. Weak</w:t>
      </w:r>
    </w:p>
    <w:p w14:paraId="68481EED" w14:textId="77777777" w:rsidR="00A30918" w:rsidRDefault="00894243">
      <w:pPr>
        <w:spacing w:before="60" w:after="60"/>
      </w:pPr>
      <w:r>
        <w:rPr>
          <w:color w:val="111111"/>
        </w:rPr>
        <w:t>The most common reason proposals fail or need revision is milestone language that is vague, unmeasurable, or disconnected from commercial decisions. Use this as a reference when reviewing proposals with faculty.</w:t>
      </w:r>
    </w:p>
    <w:p w14:paraId="68481EEE" w14:textId="77777777" w:rsidR="00A30918" w:rsidRDefault="00A3091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30918" w14:paraId="68481EF2" w14:textId="77777777">
        <w:tc>
          <w:tcPr>
            <w:tcW w:w="312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68481EEF" w14:textId="77777777" w:rsidR="00A30918" w:rsidRDefault="00894243">
            <w:r>
              <w:rPr>
                <w:b/>
                <w:bCs/>
                <w:color w:val="FFFFFF"/>
                <w:sz w:val="21"/>
                <w:szCs w:val="21"/>
              </w:rPr>
              <w:t>Objective &amp; Measurable</w:t>
            </w:r>
          </w:p>
        </w:tc>
        <w:tc>
          <w:tcPr>
            <w:tcW w:w="3120" w:type="dxa"/>
            <w:tcBorders>
              <w:top w:val="single" w:sz="1" w:space="0" w:color="BBCFDD"/>
              <w:left w:val="single" w:sz="1" w:space="0" w:color="BBCFDD"/>
              <w:bottom w:val="single" w:sz="1" w:space="0" w:color="BBCFDD"/>
              <w:right w:val="single" w:sz="1" w:space="0" w:color="BBCFDD"/>
            </w:tcBorders>
            <w:shd w:val="clear" w:color="auto" w:fill="009CDE"/>
            <w:tcMar>
              <w:top w:w="80" w:type="dxa"/>
              <w:left w:w="120" w:type="dxa"/>
              <w:bottom w:w="80" w:type="dxa"/>
              <w:right w:w="120" w:type="dxa"/>
            </w:tcMar>
          </w:tcPr>
          <w:p w14:paraId="68481EF0" w14:textId="77777777" w:rsidR="00A30918" w:rsidRDefault="00894243">
            <w:r>
              <w:rPr>
                <w:b/>
                <w:bCs/>
                <w:color w:val="FFFFFF"/>
                <w:sz w:val="21"/>
                <w:szCs w:val="21"/>
              </w:rPr>
              <w:t>Comparative to Existing Solutions</w:t>
            </w:r>
          </w:p>
        </w:tc>
        <w:tc>
          <w:tcPr>
            <w:tcW w:w="3120" w:type="dxa"/>
            <w:tcBorders>
              <w:top w:val="single" w:sz="1" w:space="0" w:color="BBCFDD"/>
              <w:left w:val="single" w:sz="1" w:space="0" w:color="BBCFDD"/>
              <w:bottom w:val="single" w:sz="1" w:space="0" w:color="BBCFDD"/>
              <w:right w:val="single" w:sz="1" w:space="0" w:color="BBCFDD"/>
            </w:tcBorders>
            <w:shd w:val="clear" w:color="auto" w:fill="4A7C3F"/>
            <w:tcMar>
              <w:top w:w="80" w:type="dxa"/>
              <w:left w:w="120" w:type="dxa"/>
              <w:bottom w:w="80" w:type="dxa"/>
              <w:right w:w="120" w:type="dxa"/>
            </w:tcMar>
          </w:tcPr>
          <w:p w14:paraId="68481EF1" w14:textId="77777777" w:rsidR="00A30918" w:rsidRDefault="00894243">
            <w:r>
              <w:rPr>
                <w:b/>
                <w:bCs/>
                <w:color w:val="FFFFFF"/>
                <w:sz w:val="21"/>
                <w:szCs w:val="21"/>
              </w:rPr>
              <w:t>Commercially Relevant</w:t>
            </w:r>
          </w:p>
        </w:tc>
      </w:tr>
      <w:tr w:rsidR="00A30918" w14:paraId="68481F0B" w14:textId="77777777">
        <w:tc>
          <w:tcPr>
            <w:tcW w:w="312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EF3" w14:textId="77777777" w:rsidR="00A30918" w:rsidRDefault="00894243">
            <w:pPr>
              <w:spacing w:before="50" w:after="50"/>
            </w:pPr>
            <w:r>
              <w:rPr>
                <w:b/>
                <w:bCs/>
                <w:color w:val="111111"/>
                <w:sz w:val="20"/>
                <w:szCs w:val="20"/>
              </w:rPr>
              <w:t>Defines a clear success or failure result.</w:t>
            </w:r>
          </w:p>
          <w:p w14:paraId="68481EF4" w14:textId="77777777" w:rsidR="00A30918" w:rsidRDefault="00894243">
            <w:pPr>
              <w:spacing w:before="50" w:after="50"/>
            </w:pPr>
            <w:r>
              <w:rPr>
                <w:color w:val="111111"/>
                <w:sz w:val="20"/>
                <w:szCs w:val="20"/>
              </w:rPr>
              <w:t>Ask: can a reviewer tell if this milestone was met?</w:t>
            </w:r>
          </w:p>
          <w:p w14:paraId="68481EF5" w14:textId="77777777" w:rsidR="00A30918" w:rsidRDefault="00A30918">
            <w:pPr>
              <w:spacing w:before="40"/>
            </w:pPr>
          </w:p>
          <w:p w14:paraId="68481EF6" w14:textId="77777777" w:rsidR="00A30918" w:rsidRDefault="00894243">
            <w:pPr>
              <w:spacing w:before="50" w:after="50"/>
            </w:pPr>
            <w:r>
              <w:rPr>
                <w:b/>
                <w:bCs/>
                <w:color w:val="2D7A00"/>
                <w:sz w:val="20"/>
                <w:szCs w:val="20"/>
              </w:rPr>
              <w:t>✓ Strong examples:</w:t>
            </w:r>
          </w:p>
          <w:p w14:paraId="68481EF7" w14:textId="77777777" w:rsidR="00A30918" w:rsidRDefault="00894243">
            <w:pPr>
              <w:pStyle w:val="ListParagraph"/>
              <w:numPr>
                <w:ilvl w:val="0"/>
                <w:numId w:val="2"/>
              </w:numPr>
              <w:spacing w:before="40" w:after="40"/>
            </w:pPr>
            <w:r>
              <w:rPr>
                <w:color w:val="111111"/>
                <w:sz w:val="20"/>
                <w:szCs w:val="20"/>
              </w:rPr>
              <w:t>Prototype achieves ≥95% sensitivity across 100 samples</w:t>
            </w:r>
          </w:p>
          <w:p w14:paraId="68481EF8" w14:textId="77777777" w:rsidR="00A30918" w:rsidRDefault="00894243">
            <w:pPr>
              <w:pStyle w:val="ListParagraph"/>
              <w:numPr>
                <w:ilvl w:val="0"/>
                <w:numId w:val="2"/>
              </w:numPr>
              <w:spacing w:before="40" w:after="40"/>
            </w:pPr>
            <w:r>
              <w:rPr>
                <w:color w:val="111111"/>
                <w:sz w:val="20"/>
                <w:szCs w:val="20"/>
              </w:rPr>
              <w:t>Device runs continuously for 72 hours without failure</w:t>
            </w:r>
          </w:p>
          <w:p w14:paraId="68481EF9" w14:textId="77777777" w:rsidR="00A30918" w:rsidRDefault="00894243">
            <w:pPr>
              <w:pStyle w:val="ListParagraph"/>
              <w:numPr>
                <w:ilvl w:val="0"/>
                <w:numId w:val="2"/>
              </w:numPr>
              <w:spacing w:before="40" w:after="40"/>
            </w:pPr>
            <w:r>
              <w:rPr>
                <w:color w:val="111111"/>
                <w:sz w:val="20"/>
                <w:szCs w:val="20"/>
              </w:rPr>
              <w:t>Manufacturing yields ≥90% consistency across 3 batches</w:t>
            </w:r>
          </w:p>
          <w:p w14:paraId="68481EFA" w14:textId="77777777" w:rsidR="00A30918" w:rsidRDefault="00894243">
            <w:pPr>
              <w:pStyle w:val="ListParagraph"/>
              <w:numPr>
                <w:ilvl w:val="0"/>
                <w:numId w:val="2"/>
              </w:numPr>
              <w:spacing w:before="40" w:after="40"/>
            </w:pPr>
            <w:r>
              <w:rPr>
                <w:color w:val="111111"/>
                <w:sz w:val="20"/>
                <w:szCs w:val="20"/>
              </w:rPr>
              <w:t>Software reduces analysis time by ≥30%</w:t>
            </w:r>
          </w:p>
        </w:tc>
        <w:tc>
          <w:tcPr>
            <w:tcW w:w="312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EFB" w14:textId="77777777" w:rsidR="00A30918" w:rsidRDefault="00894243">
            <w:pPr>
              <w:spacing w:before="50" w:after="50"/>
            </w:pPr>
            <w:r>
              <w:rPr>
                <w:b/>
                <w:bCs/>
                <w:color w:val="111111"/>
                <w:sz w:val="20"/>
                <w:szCs w:val="20"/>
              </w:rPr>
              <w:t>Shows how the technology performs vs. current approaches.</w:t>
            </w:r>
          </w:p>
          <w:p w14:paraId="68481EFC" w14:textId="77777777" w:rsidR="00A30918" w:rsidRDefault="00894243">
            <w:pPr>
              <w:spacing w:before="50" w:after="50"/>
            </w:pPr>
            <w:r>
              <w:rPr>
                <w:color w:val="111111"/>
                <w:sz w:val="20"/>
                <w:szCs w:val="20"/>
              </w:rPr>
              <w:t>Ask: does this tell us whether it's better than what exists?</w:t>
            </w:r>
          </w:p>
          <w:p w14:paraId="68481EFD" w14:textId="77777777" w:rsidR="00A30918" w:rsidRDefault="00A30918">
            <w:pPr>
              <w:spacing w:before="40"/>
            </w:pPr>
          </w:p>
          <w:p w14:paraId="68481EFE" w14:textId="77777777" w:rsidR="00A30918" w:rsidRDefault="00894243">
            <w:pPr>
              <w:spacing w:before="50" w:after="50"/>
            </w:pPr>
            <w:r>
              <w:rPr>
                <w:b/>
                <w:bCs/>
                <w:color w:val="2D7A00"/>
                <w:sz w:val="20"/>
                <w:szCs w:val="20"/>
              </w:rPr>
              <w:t>✓ Strong examples:</w:t>
            </w:r>
          </w:p>
          <w:p w14:paraId="68481EFF" w14:textId="77777777" w:rsidR="00A30918" w:rsidRDefault="00894243">
            <w:pPr>
              <w:pStyle w:val="ListParagraph"/>
              <w:numPr>
                <w:ilvl w:val="0"/>
                <w:numId w:val="2"/>
              </w:numPr>
              <w:spacing w:before="40" w:after="40"/>
            </w:pPr>
            <w:r>
              <w:rPr>
                <w:color w:val="111111"/>
                <w:sz w:val="20"/>
                <w:szCs w:val="20"/>
              </w:rPr>
              <w:t>Assay sensitivity vs. current clinical standard</w:t>
            </w:r>
          </w:p>
          <w:p w14:paraId="68481F00" w14:textId="77777777" w:rsidR="00A30918" w:rsidRDefault="00894243">
            <w:pPr>
              <w:pStyle w:val="ListParagraph"/>
              <w:numPr>
                <w:ilvl w:val="0"/>
                <w:numId w:val="2"/>
              </w:numPr>
              <w:spacing w:before="40" w:after="40"/>
            </w:pPr>
            <w:r>
              <w:rPr>
                <w:color w:val="111111"/>
                <w:sz w:val="20"/>
                <w:szCs w:val="20"/>
              </w:rPr>
              <w:t>ML model vs. baseline algorithms</w:t>
            </w:r>
          </w:p>
          <w:p w14:paraId="68481F01" w14:textId="77777777" w:rsidR="00A30918" w:rsidRDefault="00894243">
            <w:pPr>
              <w:pStyle w:val="ListParagraph"/>
              <w:numPr>
                <w:ilvl w:val="0"/>
                <w:numId w:val="2"/>
              </w:numPr>
              <w:spacing w:before="40" w:after="40"/>
            </w:pPr>
            <w:r>
              <w:rPr>
                <w:color w:val="111111"/>
                <w:sz w:val="20"/>
                <w:szCs w:val="20"/>
              </w:rPr>
              <w:t>Material performance vs. materials used in similar applications</w:t>
            </w:r>
          </w:p>
          <w:p w14:paraId="68481F02" w14:textId="77777777" w:rsidR="00A30918" w:rsidRDefault="00894243">
            <w:pPr>
              <w:pStyle w:val="ListParagraph"/>
              <w:numPr>
                <w:ilvl w:val="0"/>
                <w:numId w:val="2"/>
              </w:numPr>
              <w:spacing w:before="40" w:after="40"/>
            </w:pPr>
            <w:r>
              <w:rPr>
                <w:color w:val="111111"/>
                <w:sz w:val="20"/>
                <w:szCs w:val="20"/>
              </w:rPr>
              <w:t>Efficacy vs. standard-of-care in a relevant model</w:t>
            </w:r>
          </w:p>
        </w:tc>
        <w:tc>
          <w:tcPr>
            <w:tcW w:w="312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03" w14:textId="77777777" w:rsidR="00A30918" w:rsidRDefault="00894243">
            <w:pPr>
              <w:spacing w:before="50" w:after="50"/>
            </w:pPr>
            <w:r>
              <w:rPr>
                <w:b/>
                <w:bCs/>
                <w:color w:val="111111"/>
                <w:sz w:val="20"/>
                <w:szCs w:val="20"/>
              </w:rPr>
              <w:t>Produces information that matters for commercialization.</w:t>
            </w:r>
          </w:p>
          <w:p w14:paraId="68481F04" w14:textId="77777777" w:rsidR="00A30918" w:rsidRDefault="00894243">
            <w:pPr>
              <w:spacing w:before="50" w:after="50"/>
            </w:pPr>
            <w:r>
              <w:rPr>
                <w:color w:val="111111"/>
                <w:sz w:val="20"/>
                <w:szCs w:val="20"/>
              </w:rPr>
              <w:t>Ask: does this result help the next investor, partner, or decision?</w:t>
            </w:r>
          </w:p>
          <w:p w14:paraId="68481F05" w14:textId="77777777" w:rsidR="00A30918" w:rsidRDefault="00A30918">
            <w:pPr>
              <w:spacing w:before="40"/>
            </w:pPr>
          </w:p>
          <w:p w14:paraId="68481F06" w14:textId="77777777" w:rsidR="00A30918" w:rsidRDefault="00894243">
            <w:pPr>
              <w:spacing w:before="50" w:after="50"/>
            </w:pPr>
            <w:r>
              <w:rPr>
                <w:b/>
                <w:bCs/>
                <w:color w:val="2D7A00"/>
                <w:sz w:val="20"/>
                <w:szCs w:val="20"/>
              </w:rPr>
              <w:t>✓ Strong examples:</w:t>
            </w:r>
          </w:p>
          <w:p w14:paraId="68481F07" w14:textId="77777777" w:rsidR="00A30918" w:rsidRDefault="00894243">
            <w:pPr>
              <w:pStyle w:val="ListParagraph"/>
              <w:numPr>
                <w:ilvl w:val="0"/>
                <w:numId w:val="2"/>
              </w:numPr>
              <w:spacing w:before="40" w:after="40"/>
            </w:pPr>
            <w:r>
              <w:rPr>
                <w:color w:val="111111"/>
                <w:sz w:val="20"/>
                <w:szCs w:val="20"/>
              </w:rPr>
              <w:t>Customer interviews confirming purchasing criteria</w:t>
            </w:r>
          </w:p>
          <w:p w14:paraId="68481F08" w14:textId="77777777" w:rsidR="00A30918" w:rsidRDefault="00894243">
            <w:pPr>
              <w:pStyle w:val="ListParagraph"/>
              <w:numPr>
                <w:ilvl w:val="0"/>
                <w:numId w:val="2"/>
              </w:numPr>
              <w:spacing w:before="40" w:after="40"/>
            </w:pPr>
            <w:r>
              <w:rPr>
                <w:color w:val="111111"/>
                <w:sz w:val="20"/>
                <w:szCs w:val="20"/>
              </w:rPr>
              <w:t>Prototype demo in a realistic operating environment</w:t>
            </w:r>
          </w:p>
          <w:p w14:paraId="68481F09" w14:textId="77777777" w:rsidR="00A30918" w:rsidRDefault="00894243">
            <w:pPr>
              <w:pStyle w:val="ListParagraph"/>
              <w:numPr>
                <w:ilvl w:val="0"/>
                <w:numId w:val="2"/>
              </w:numPr>
              <w:spacing w:before="40" w:after="40"/>
            </w:pPr>
            <w:r>
              <w:rPr>
                <w:color w:val="111111"/>
                <w:sz w:val="20"/>
                <w:szCs w:val="20"/>
              </w:rPr>
              <w:t>Manufacturing feasibility and preliminary cost model</w:t>
            </w:r>
          </w:p>
          <w:p w14:paraId="68481F0A" w14:textId="77777777" w:rsidR="00A30918" w:rsidRDefault="00894243">
            <w:pPr>
              <w:pStyle w:val="ListParagraph"/>
              <w:numPr>
                <w:ilvl w:val="0"/>
                <w:numId w:val="2"/>
              </w:numPr>
              <w:spacing w:before="40" w:after="40"/>
            </w:pPr>
            <w:r>
              <w:rPr>
                <w:color w:val="111111"/>
                <w:sz w:val="20"/>
                <w:szCs w:val="20"/>
              </w:rPr>
              <w:t>Regulatory pathway assessment identifying required steps</w:t>
            </w:r>
          </w:p>
        </w:tc>
      </w:tr>
      <w:tr w:rsidR="00A30918" w14:paraId="68481F0F" w14:textId="77777777">
        <w:tc>
          <w:tcPr>
            <w:tcW w:w="3120" w:type="dxa"/>
            <w:tcBorders>
              <w:top w:val="single" w:sz="1" w:space="0" w:color="BBCFDD"/>
              <w:left w:val="single" w:sz="1" w:space="0" w:color="BBCFDD"/>
              <w:bottom w:val="single" w:sz="1" w:space="0" w:color="BBCFDD"/>
              <w:right w:val="single" w:sz="1" w:space="0" w:color="BBCFDD"/>
            </w:tcBorders>
            <w:shd w:val="clear" w:color="auto" w:fill="8B4513"/>
            <w:tcMar>
              <w:top w:w="80" w:type="dxa"/>
              <w:left w:w="120" w:type="dxa"/>
              <w:bottom w:w="80" w:type="dxa"/>
              <w:right w:w="120" w:type="dxa"/>
            </w:tcMar>
          </w:tcPr>
          <w:p w14:paraId="68481F0C" w14:textId="77777777" w:rsidR="00A30918" w:rsidRDefault="00894243">
            <w:r>
              <w:rPr>
                <w:b/>
                <w:bCs/>
                <w:color w:val="FFFFFF"/>
                <w:sz w:val="21"/>
                <w:szCs w:val="21"/>
              </w:rPr>
              <w:t>Not Objective or Measurable</w:t>
            </w:r>
          </w:p>
        </w:tc>
        <w:tc>
          <w:tcPr>
            <w:tcW w:w="3120" w:type="dxa"/>
            <w:tcBorders>
              <w:top w:val="single" w:sz="1" w:space="0" w:color="BBCFDD"/>
              <w:left w:val="single" w:sz="1" w:space="0" w:color="BBCFDD"/>
              <w:bottom w:val="single" w:sz="1" w:space="0" w:color="BBCFDD"/>
              <w:right w:val="single" w:sz="1" w:space="0" w:color="BBCFDD"/>
            </w:tcBorders>
            <w:shd w:val="clear" w:color="auto" w:fill="8B6914"/>
            <w:tcMar>
              <w:top w:w="80" w:type="dxa"/>
              <w:left w:w="120" w:type="dxa"/>
              <w:bottom w:w="80" w:type="dxa"/>
              <w:right w:w="120" w:type="dxa"/>
            </w:tcMar>
          </w:tcPr>
          <w:p w14:paraId="68481F0D" w14:textId="77777777" w:rsidR="00A30918" w:rsidRDefault="00894243">
            <w:r>
              <w:rPr>
                <w:b/>
                <w:bCs/>
                <w:color w:val="FFFFFF"/>
                <w:sz w:val="21"/>
                <w:szCs w:val="21"/>
              </w:rPr>
              <w:t>No Comparison to Existing Solutions</w:t>
            </w:r>
          </w:p>
        </w:tc>
        <w:tc>
          <w:tcPr>
            <w:tcW w:w="3120" w:type="dxa"/>
            <w:tcBorders>
              <w:top w:val="single" w:sz="1" w:space="0" w:color="BBCFDD"/>
              <w:left w:val="single" w:sz="1" w:space="0" w:color="BBCFDD"/>
              <w:bottom w:val="single" w:sz="1" w:space="0" w:color="BBCFDD"/>
              <w:right w:val="single" w:sz="1" w:space="0" w:color="BBCFDD"/>
            </w:tcBorders>
            <w:shd w:val="clear" w:color="auto" w:fill="555555"/>
            <w:tcMar>
              <w:top w:w="80" w:type="dxa"/>
              <w:left w:w="120" w:type="dxa"/>
              <w:bottom w:w="80" w:type="dxa"/>
              <w:right w:w="120" w:type="dxa"/>
            </w:tcMar>
          </w:tcPr>
          <w:p w14:paraId="68481F0E" w14:textId="77777777" w:rsidR="00A30918" w:rsidRDefault="00894243">
            <w:r>
              <w:rPr>
                <w:b/>
                <w:bCs/>
                <w:color w:val="FFFFFF"/>
                <w:sz w:val="21"/>
                <w:szCs w:val="21"/>
              </w:rPr>
              <w:t>Not Connected to Commercial Decisions</w:t>
            </w:r>
          </w:p>
        </w:tc>
      </w:tr>
      <w:tr w:rsidR="00A30918" w14:paraId="68481F25" w14:textId="77777777">
        <w:tc>
          <w:tcPr>
            <w:tcW w:w="3120" w:type="dxa"/>
            <w:tcBorders>
              <w:top w:val="single" w:sz="1" w:space="0" w:color="BBCFDD"/>
              <w:left w:val="single" w:sz="1" w:space="0" w:color="BBCFDD"/>
              <w:bottom w:val="single" w:sz="1" w:space="0" w:color="BBCFDD"/>
              <w:right w:val="single" w:sz="1" w:space="0" w:color="BBCFDD"/>
            </w:tcBorders>
            <w:shd w:val="clear" w:color="auto" w:fill="FFF8F5"/>
            <w:tcMar>
              <w:top w:w="80" w:type="dxa"/>
              <w:left w:w="120" w:type="dxa"/>
              <w:bottom w:w="80" w:type="dxa"/>
              <w:right w:w="120" w:type="dxa"/>
            </w:tcMar>
          </w:tcPr>
          <w:p w14:paraId="68481F10" w14:textId="77777777" w:rsidR="00A30918" w:rsidRDefault="00894243">
            <w:pPr>
              <w:spacing w:before="50" w:after="50"/>
            </w:pPr>
            <w:r>
              <w:rPr>
                <w:b/>
                <w:bCs/>
                <w:color w:val="8B1A1A"/>
                <w:sz w:val="20"/>
                <w:szCs w:val="20"/>
              </w:rPr>
              <w:t>✗ Phrases to flag:</w:t>
            </w:r>
          </w:p>
          <w:p w14:paraId="68481F11" w14:textId="77777777" w:rsidR="00A30918" w:rsidRDefault="00894243">
            <w:pPr>
              <w:pStyle w:val="ListParagraph"/>
              <w:numPr>
                <w:ilvl w:val="0"/>
                <w:numId w:val="2"/>
              </w:numPr>
              <w:spacing w:before="40" w:after="40"/>
            </w:pPr>
            <w:r>
              <w:rPr>
                <w:i/>
                <w:iCs/>
                <w:color w:val="555555"/>
                <w:sz w:val="20"/>
                <w:szCs w:val="20"/>
              </w:rPr>
              <w:t>"Further develop the prototype"</w:t>
            </w:r>
          </w:p>
          <w:p w14:paraId="68481F12" w14:textId="77777777" w:rsidR="00A30918" w:rsidRDefault="00894243">
            <w:pPr>
              <w:pStyle w:val="ListParagraph"/>
              <w:numPr>
                <w:ilvl w:val="0"/>
                <w:numId w:val="2"/>
              </w:numPr>
              <w:spacing w:before="40" w:after="40"/>
            </w:pPr>
            <w:r>
              <w:rPr>
                <w:i/>
                <w:iCs/>
                <w:color w:val="555555"/>
                <w:sz w:val="20"/>
                <w:szCs w:val="20"/>
              </w:rPr>
              <w:t>"Improve the performance of the technology"</w:t>
            </w:r>
          </w:p>
          <w:p w14:paraId="68481F13" w14:textId="77777777" w:rsidR="00A30918" w:rsidRDefault="00894243">
            <w:pPr>
              <w:pStyle w:val="ListParagraph"/>
              <w:numPr>
                <w:ilvl w:val="0"/>
                <w:numId w:val="2"/>
              </w:numPr>
              <w:spacing w:before="40" w:after="40"/>
            </w:pPr>
            <w:r>
              <w:rPr>
                <w:i/>
                <w:iCs/>
                <w:color w:val="555555"/>
                <w:sz w:val="20"/>
                <w:szCs w:val="20"/>
              </w:rPr>
              <w:t>"Continue optimization of the system"</w:t>
            </w:r>
          </w:p>
          <w:p w14:paraId="68481F14" w14:textId="77777777" w:rsidR="00A30918" w:rsidRDefault="00894243">
            <w:pPr>
              <w:pStyle w:val="ListParagraph"/>
              <w:numPr>
                <w:ilvl w:val="0"/>
                <w:numId w:val="2"/>
              </w:numPr>
              <w:spacing w:before="40" w:after="40"/>
            </w:pPr>
            <w:r>
              <w:rPr>
                <w:i/>
                <w:iCs/>
                <w:color w:val="555555"/>
                <w:sz w:val="20"/>
                <w:szCs w:val="20"/>
              </w:rPr>
              <w:t>"Generate preliminary data supporting feasibility"</w:t>
            </w:r>
          </w:p>
          <w:p w14:paraId="68481F15" w14:textId="77777777" w:rsidR="00A30918" w:rsidRDefault="00A30918">
            <w:pPr>
              <w:spacing w:before="40"/>
            </w:pPr>
          </w:p>
          <w:p w14:paraId="68481F16" w14:textId="77777777" w:rsidR="00A30918" w:rsidRDefault="00894243">
            <w:pPr>
              <w:spacing w:before="50" w:after="50"/>
            </w:pPr>
            <w:r>
              <w:rPr>
                <w:i/>
                <w:iCs/>
                <w:color w:val="111111"/>
                <w:sz w:val="20"/>
                <w:szCs w:val="20"/>
              </w:rPr>
              <w:t>Why it fails: no measurable outcome or clear success criteria.</w:t>
            </w:r>
          </w:p>
        </w:tc>
        <w:tc>
          <w:tcPr>
            <w:tcW w:w="3120" w:type="dxa"/>
            <w:tcBorders>
              <w:top w:val="single" w:sz="1" w:space="0" w:color="BBCFDD"/>
              <w:left w:val="single" w:sz="1" w:space="0" w:color="BBCFDD"/>
              <w:bottom w:val="single" w:sz="1" w:space="0" w:color="BBCFDD"/>
              <w:right w:val="single" w:sz="1" w:space="0" w:color="BBCFDD"/>
            </w:tcBorders>
            <w:shd w:val="clear" w:color="auto" w:fill="FFFDF0"/>
            <w:tcMar>
              <w:top w:w="80" w:type="dxa"/>
              <w:left w:w="120" w:type="dxa"/>
              <w:bottom w:w="80" w:type="dxa"/>
              <w:right w:w="120" w:type="dxa"/>
            </w:tcMar>
          </w:tcPr>
          <w:p w14:paraId="68481F17" w14:textId="77777777" w:rsidR="00A30918" w:rsidRDefault="00894243">
            <w:pPr>
              <w:spacing w:before="50" w:after="50"/>
            </w:pPr>
            <w:r>
              <w:rPr>
                <w:b/>
                <w:bCs/>
                <w:color w:val="8B1A1A"/>
                <w:sz w:val="20"/>
                <w:szCs w:val="20"/>
              </w:rPr>
              <w:t>✗ Phrases to flag:</w:t>
            </w:r>
          </w:p>
          <w:p w14:paraId="68481F18" w14:textId="77777777" w:rsidR="00A30918" w:rsidRDefault="00894243">
            <w:pPr>
              <w:pStyle w:val="ListParagraph"/>
              <w:numPr>
                <w:ilvl w:val="0"/>
                <w:numId w:val="2"/>
              </w:numPr>
              <w:spacing w:before="40" w:after="40"/>
            </w:pPr>
            <w:r>
              <w:rPr>
                <w:i/>
                <w:iCs/>
                <w:color w:val="555555"/>
                <w:sz w:val="20"/>
                <w:szCs w:val="20"/>
              </w:rPr>
              <w:t>"Demonstrate that the technology works"</w:t>
            </w:r>
          </w:p>
          <w:p w14:paraId="68481F19" w14:textId="77777777" w:rsidR="00A30918" w:rsidRDefault="00894243">
            <w:pPr>
              <w:pStyle w:val="ListParagraph"/>
              <w:numPr>
                <w:ilvl w:val="0"/>
                <w:numId w:val="2"/>
              </w:numPr>
              <w:spacing w:before="40" w:after="40"/>
            </w:pPr>
            <w:r>
              <w:rPr>
                <w:i/>
                <w:iCs/>
                <w:color w:val="555555"/>
                <w:sz w:val="20"/>
                <w:szCs w:val="20"/>
              </w:rPr>
              <w:t>"Validate the approach in relevant models"</w:t>
            </w:r>
          </w:p>
          <w:p w14:paraId="68481F1A" w14:textId="77777777" w:rsidR="00A30918" w:rsidRDefault="00894243">
            <w:pPr>
              <w:pStyle w:val="ListParagraph"/>
              <w:numPr>
                <w:ilvl w:val="0"/>
                <w:numId w:val="2"/>
              </w:numPr>
              <w:spacing w:before="40" w:after="40"/>
            </w:pPr>
            <w:r>
              <w:rPr>
                <w:i/>
                <w:iCs/>
                <w:color w:val="555555"/>
                <w:sz w:val="20"/>
                <w:szCs w:val="20"/>
              </w:rPr>
              <w:t>"Show proof of concept for the platform"</w:t>
            </w:r>
          </w:p>
          <w:p w14:paraId="68481F1B" w14:textId="77777777" w:rsidR="00A30918" w:rsidRDefault="00894243">
            <w:pPr>
              <w:pStyle w:val="ListParagraph"/>
              <w:numPr>
                <w:ilvl w:val="0"/>
                <w:numId w:val="2"/>
              </w:numPr>
              <w:spacing w:before="40" w:after="40"/>
            </w:pPr>
            <w:r>
              <w:rPr>
                <w:i/>
                <w:iCs/>
                <w:color w:val="555555"/>
                <w:sz w:val="20"/>
                <w:szCs w:val="20"/>
              </w:rPr>
              <w:t>"Establish the feasibility of the method"</w:t>
            </w:r>
          </w:p>
          <w:p w14:paraId="68481F1C" w14:textId="77777777" w:rsidR="00A30918" w:rsidRDefault="00A30918">
            <w:pPr>
              <w:spacing w:before="40"/>
            </w:pPr>
          </w:p>
          <w:p w14:paraId="68481F1D" w14:textId="77777777" w:rsidR="00A30918" w:rsidRDefault="00894243">
            <w:pPr>
              <w:spacing w:before="50" w:after="50"/>
            </w:pPr>
            <w:r>
              <w:rPr>
                <w:i/>
                <w:iCs/>
                <w:color w:val="111111"/>
                <w:sz w:val="20"/>
                <w:szCs w:val="20"/>
              </w:rPr>
              <w:t>Why it fails: shows function but not whether it outperforms existing solutions.</w:t>
            </w:r>
          </w:p>
        </w:tc>
        <w:tc>
          <w:tcPr>
            <w:tcW w:w="3120" w:type="dxa"/>
            <w:tcBorders>
              <w:top w:val="single" w:sz="1" w:space="0" w:color="BBCFDD"/>
              <w:left w:val="single" w:sz="1" w:space="0" w:color="BBCFDD"/>
              <w:bottom w:val="single" w:sz="1" w:space="0" w:color="BBCFDD"/>
              <w:right w:val="single" w:sz="1" w:space="0" w:color="BBCFDD"/>
            </w:tcBorders>
            <w:shd w:val="clear" w:color="auto" w:fill="F8F8F8"/>
            <w:tcMar>
              <w:top w:w="80" w:type="dxa"/>
              <w:left w:w="120" w:type="dxa"/>
              <w:bottom w:w="80" w:type="dxa"/>
              <w:right w:w="120" w:type="dxa"/>
            </w:tcMar>
          </w:tcPr>
          <w:p w14:paraId="68481F1E" w14:textId="77777777" w:rsidR="00A30918" w:rsidRDefault="00894243">
            <w:pPr>
              <w:spacing w:before="50" w:after="50"/>
            </w:pPr>
            <w:r>
              <w:rPr>
                <w:b/>
                <w:bCs/>
                <w:color w:val="8B1A1A"/>
                <w:sz w:val="20"/>
                <w:szCs w:val="20"/>
              </w:rPr>
              <w:t>✗ Phrases to flag:</w:t>
            </w:r>
          </w:p>
          <w:p w14:paraId="68481F1F" w14:textId="77777777" w:rsidR="00A30918" w:rsidRDefault="00894243">
            <w:pPr>
              <w:pStyle w:val="ListParagraph"/>
              <w:numPr>
                <w:ilvl w:val="0"/>
                <w:numId w:val="2"/>
              </w:numPr>
              <w:spacing w:before="40" w:after="40"/>
            </w:pPr>
            <w:r>
              <w:rPr>
                <w:i/>
                <w:iCs/>
                <w:color w:val="555555"/>
                <w:sz w:val="20"/>
                <w:szCs w:val="20"/>
              </w:rPr>
              <w:t>"Explore potential applications of the technology"</w:t>
            </w:r>
          </w:p>
          <w:p w14:paraId="68481F20" w14:textId="77777777" w:rsidR="00A30918" w:rsidRDefault="00894243">
            <w:pPr>
              <w:pStyle w:val="ListParagraph"/>
              <w:numPr>
                <w:ilvl w:val="0"/>
                <w:numId w:val="2"/>
              </w:numPr>
              <w:spacing w:before="40" w:after="40"/>
            </w:pPr>
            <w:r>
              <w:rPr>
                <w:i/>
                <w:iCs/>
                <w:color w:val="555555"/>
                <w:sz w:val="20"/>
                <w:szCs w:val="20"/>
              </w:rPr>
              <w:t>"Evaluate possible use cases with partners"</w:t>
            </w:r>
          </w:p>
          <w:p w14:paraId="68481F21" w14:textId="77777777" w:rsidR="00A30918" w:rsidRDefault="00894243">
            <w:pPr>
              <w:pStyle w:val="ListParagraph"/>
              <w:numPr>
                <w:ilvl w:val="0"/>
                <w:numId w:val="2"/>
              </w:numPr>
              <w:spacing w:before="40" w:after="40"/>
            </w:pPr>
            <w:r>
              <w:rPr>
                <w:i/>
                <w:iCs/>
                <w:color w:val="555555"/>
                <w:sz w:val="20"/>
                <w:szCs w:val="20"/>
              </w:rPr>
              <w:t>"Investigate commercialization opportunities"</w:t>
            </w:r>
          </w:p>
          <w:p w14:paraId="68481F22" w14:textId="77777777" w:rsidR="00A30918" w:rsidRDefault="00894243">
            <w:pPr>
              <w:pStyle w:val="ListParagraph"/>
              <w:numPr>
                <w:ilvl w:val="0"/>
                <w:numId w:val="2"/>
              </w:numPr>
              <w:spacing w:before="40" w:after="40"/>
            </w:pPr>
            <w:r>
              <w:rPr>
                <w:i/>
                <w:iCs/>
                <w:color w:val="555555"/>
                <w:sz w:val="20"/>
                <w:szCs w:val="20"/>
              </w:rPr>
              <w:t>"Assess long-term potential of the platform"</w:t>
            </w:r>
          </w:p>
          <w:p w14:paraId="68481F23" w14:textId="77777777" w:rsidR="00A30918" w:rsidRDefault="00A30918">
            <w:pPr>
              <w:spacing w:before="40"/>
            </w:pPr>
          </w:p>
          <w:p w14:paraId="68481F24" w14:textId="77777777" w:rsidR="00A30918" w:rsidRDefault="00894243">
            <w:pPr>
              <w:spacing w:before="50" w:after="50"/>
            </w:pPr>
            <w:r>
              <w:rPr>
                <w:i/>
                <w:iCs/>
                <w:color w:val="111111"/>
                <w:sz w:val="20"/>
                <w:szCs w:val="20"/>
              </w:rPr>
              <w:t>Why it fails: no evidence to support the next development, licensing, or investment decision.</w:t>
            </w:r>
          </w:p>
        </w:tc>
      </w:tr>
    </w:tbl>
    <w:p w14:paraId="68481F26" w14:textId="77777777" w:rsidR="00A30918" w:rsidRDefault="00A30918">
      <w:pPr>
        <w:spacing w:before="80"/>
      </w:pPr>
    </w:p>
    <w:p w14:paraId="68481F27" w14:textId="77777777" w:rsidR="00A30918" w:rsidRDefault="00894243">
      <w:pPr>
        <w:spacing w:before="80" w:after="80"/>
        <w:ind w:left="180" w:right="180"/>
      </w:pPr>
      <w:r>
        <w:rPr>
          <w:i/>
          <w:iCs/>
          <w:color w:val="444444"/>
          <w:sz w:val="20"/>
          <w:szCs w:val="20"/>
        </w:rPr>
        <w:lastRenderedPageBreak/>
        <w:t>Strong proposals identify the set of milestones that will enable the next decision: investment, licensing, or startup formation. The question every strong proposal answers: is this technology meaningfully better than what already exists?</w:t>
      </w:r>
    </w:p>
    <w:p w14:paraId="68481F28" w14:textId="77777777" w:rsidR="00A30918" w:rsidRDefault="00A30918">
      <w:pPr>
        <w:spacing w:before="80"/>
      </w:pPr>
    </w:p>
    <w:p w14:paraId="68481F29" w14:textId="77777777" w:rsidR="00A30918" w:rsidRDefault="00894243">
      <w:pPr>
        <w:keepNext/>
        <w:pBdr>
          <w:bottom w:val="single" w:sz="8" w:space="0" w:color="009CDE"/>
        </w:pBdr>
        <w:spacing w:before="260" w:after="100"/>
      </w:pPr>
      <w:r>
        <w:rPr>
          <w:b/>
          <w:bCs/>
          <w:color w:val="00243C"/>
          <w:sz w:val="26"/>
          <w:szCs w:val="26"/>
        </w:rPr>
        <w:t>Budget Guidance</w:t>
      </w:r>
    </w:p>
    <w:p w14:paraId="68481F2A" w14:textId="77777777" w:rsidR="00A30918" w:rsidRDefault="00A3091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A30918" w14:paraId="68481F2D" w14:textId="77777777">
        <w:tc>
          <w:tcPr>
            <w:tcW w:w="22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2B" w14:textId="77777777" w:rsidR="00A30918" w:rsidRDefault="00894243">
            <w:r>
              <w:rPr>
                <w:b/>
                <w:bCs/>
                <w:color w:val="00243C"/>
                <w:sz w:val="21"/>
                <w:szCs w:val="21"/>
              </w:rPr>
              <w:t>Exploratory Grants (up to $10K)</w:t>
            </w:r>
          </w:p>
        </w:tc>
        <w:tc>
          <w:tcPr>
            <w:tcW w:w="71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2C" w14:textId="77777777" w:rsidR="00A30918" w:rsidRDefault="00894243">
            <w:r>
              <w:rPr>
                <w:sz w:val="21"/>
                <w:szCs w:val="21"/>
              </w:rPr>
              <w:t>Designed for a single, focused activity, not a funded student. Think: vendor purchase (antibodies, reagents), customer discovery travel, trade show interviews, lightweight whitespace or IP analysis. Salary on an exploratory grant is almost never appropriate.</w:t>
            </w:r>
          </w:p>
        </w:tc>
      </w:tr>
      <w:tr w:rsidR="00A30918" w14:paraId="68481F30" w14:textId="77777777">
        <w:tc>
          <w:tcPr>
            <w:tcW w:w="22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2E" w14:textId="77777777" w:rsidR="00A30918" w:rsidRDefault="00894243">
            <w:r>
              <w:rPr>
                <w:b/>
                <w:bCs/>
                <w:color w:val="00243C"/>
                <w:sz w:val="21"/>
                <w:szCs w:val="21"/>
              </w:rPr>
              <w:t>Development Grants ($10K – $250K)</w:t>
            </w:r>
          </w:p>
        </w:tc>
        <w:tc>
          <w:tcPr>
            <w:tcW w:w="71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2F" w14:textId="77777777" w:rsidR="00A30918" w:rsidRDefault="00894243">
            <w:r>
              <w:rPr>
                <w:sz w:val="21"/>
                <w:szCs w:val="21"/>
              </w:rPr>
              <w:t>Milestone-driven and right-sized. Proposals should not default to $250K. That cap is a ceiling, not a target. If the milestones can be achieved for $50K, write for $50K. GRA may fund a partial scope if a go/no-go inflection point is reachable at lower cost.</w:t>
            </w:r>
          </w:p>
        </w:tc>
      </w:tr>
      <w:tr w:rsidR="00A30918" w14:paraId="68481F33" w14:textId="77777777">
        <w:tc>
          <w:tcPr>
            <w:tcW w:w="22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31" w14:textId="77777777" w:rsidR="00A30918" w:rsidRDefault="00894243">
            <w:r>
              <w:rPr>
                <w:b/>
                <w:bCs/>
                <w:color w:val="00243C"/>
                <w:sz w:val="21"/>
                <w:szCs w:val="21"/>
              </w:rPr>
              <w:t>No matching requirement</w:t>
            </w:r>
          </w:p>
        </w:tc>
        <w:tc>
          <w:tcPr>
            <w:tcW w:w="71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32" w14:textId="77777777" w:rsidR="00A30918" w:rsidRDefault="00894243">
            <w:r>
              <w:rPr>
                <w:sz w:val="21"/>
                <w:szCs w:val="21"/>
              </w:rPr>
              <w:t>The previous match requirement for Development Grants has been eliminated. Projects no longer need to demonstrate a matched SBIR or other external fund. However, if the budget is very large, GRA may ask whether internal or other funding could augment the project.</w:t>
            </w:r>
          </w:p>
        </w:tc>
      </w:tr>
      <w:tr w:rsidR="00A30918" w14:paraId="68481F36" w14:textId="77777777">
        <w:tc>
          <w:tcPr>
            <w:tcW w:w="22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34" w14:textId="77777777" w:rsidR="00A30918" w:rsidRDefault="00894243">
            <w:r>
              <w:rPr>
                <w:b/>
                <w:bCs/>
                <w:color w:val="00243C"/>
                <w:sz w:val="21"/>
                <w:szCs w:val="21"/>
              </w:rPr>
              <w:t>Tranche / contingent awards</w:t>
            </w:r>
          </w:p>
        </w:tc>
        <w:tc>
          <w:tcPr>
            <w:tcW w:w="71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35" w14:textId="77777777" w:rsidR="00A30918" w:rsidRDefault="00894243">
            <w:r>
              <w:rPr>
                <w:sz w:val="21"/>
                <w:szCs w:val="21"/>
              </w:rPr>
              <w:t>For larger grants with staged milestones, GRA may encumber the full award but release funds in tranches tied to milestone achievement. This is a true tranche, not a re-proposal. The full amount is committed; release is contingent on milestone achievement.</w:t>
            </w:r>
          </w:p>
        </w:tc>
      </w:tr>
    </w:tbl>
    <w:p w14:paraId="68481F37" w14:textId="77777777" w:rsidR="00A30918" w:rsidRDefault="00A30918">
      <w:pPr>
        <w:spacing w:before="80"/>
      </w:pPr>
    </w:p>
    <w:p w14:paraId="68481F38" w14:textId="395B28A1" w:rsidR="00A30918" w:rsidRDefault="00894243">
      <w:pPr>
        <w:keepNext/>
        <w:pBdr>
          <w:bottom w:val="single" w:sz="8" w:space="0" w:color="009CDE"/>
        </w:pBdr>
        <w:spacing w:before="260" w:after="100"/>
      </w:pPr>
      <w:r>
        <w:rPr>
          <w:b/>
          <w:bCs/>
          <w:color w:val="00243C"/>
          <w:sz w:val="26"/>
          <w:szCs w:val="26"/>
        </w:rPr>
        <w:t xml:space="preserve">IP and Licensing: When to Loop </w:t>
      </w:r>
      <w:r w:rsidR="00A87B3F">
        <w:rPr>
          <w:b/>
          <w:bCs/>
          <w:color w:val="00243C"/>
          <w:sz w:val="26"/>
          <w:szCs w:val="26"/>
        </w:rPr>
        <w:t>in</w:t>
      </w:r>
      <w:r>
        <w:rPr>
          <w:b/>
          <w:bCs/>
          <w:color w:val="00243C"/>
          <w:sz w:val="26"/>
          <w:szCs w:val="26"/>
        </w:rPr>
        <w:t xml:space="preserve"> the Licensing Team</w:t>
      </w:r>
    </w:p>
    <w:p w14:paraId="68481F39" w14:textId="77777777" w:rsidR="00A30918" w:rsidRDefault="00894243">
      <w:pPr>
        <w:spacing w:before="60" w:after="60"/>
      </w:pPr>
      <w:r>
        <w:rPr>
          <w:color w:val="111111"/>
        </w:rPr>
        <w:t>Involve the licensing or technology transfer team before submission whenever any of the following apply:</w:t>
      </w:r>
    </w:p>
    <w:p w14:paraId="68481F3A" w14:textId="77777777" w:rsidR="00A30918" w:rsidRDefault="00A30918">
      <w:pPr>
        <w:spacing w:before="60"/>
      </w:pPr>
    </w:p>
    <w:p w14:paraId="68481F3B" w14:textId="77777777" w:rsidR="00A30918" w:rsidRDefault="00894243">
      <w:pPr>
        <w:numPr>
          <w:ilvl w:val="0"/>
          <w:numId w:val="2"/>
        </w:numPr>
        <w:spacing w:before="50" w:after="50"/>
      </w:pPr>
      <w:r>
        <w:t>A license or option already exists on the technology</w:t>
      </w:r>
    </w:p>
    <w:p w14:paraId="68481F3C" w14:textId="77777777" w:rsidR="00A30918" w:rsidRDefault="00894243">
      <w:pPr>
        <w:numPr>
          <w:ilvl w:val="0"/>
          <w:numId w:val="2"/>
        </w:numPr>
        <w:spacing w:before="50" w:after="50"/>
      </w:pPr>
      <w:r>
        <w:t>The license includes rights to future improvements from university work</w:t>
      </w:r>
    </w:p>
    <w:p w14:paraId="68481F3D" w14:textId="77777777" w:rsidR="00A30918" w:rsidRDefault="00894243">
      <w:pPr>
        <w:numPr>
          <w:ilvl w:val="0"/>
          <w:numId w:val="2"/>
        </w:numPr>
        <w:spacing w:before="50" w:after="50"/>
      </w:pPr>
      <w:r>
        <w:t>A startup already holds an option, warrant, or equity tied to the technology</w:t>
      </w:r>
    </w:p>
    <w:p w14:paraId="68481F3E" w14:textId="77777777" w:rsidR="00A30918" w:rsidRDefault="00894243">
      <w:pPr>
        <w:numPr>
          <w:ilvl w:val="0"/>
          <w:numId w:val="2"/>
        </w:numPr>
        <w:spacing w:before="50" w:after="50"/>
      </w:pPr>
      <w:r>
        <w:t>Multiple institutions are involved and IP ownership is shared or unclear</w:t>
      </w:r>
    </w:p>
    <w:p w14:paraId="68481F3F" w14:textId="77777777" w:rsidR="00A30918" w:rsidRDefault="00894243">
      <w:pPr>
        <w:numPr>
          <w:ilvl w:val="0"/>
          <w:numId w:val="2"/>
        </w:numPr>
        <w:spacing w:before="50" w:after="50"/>
      </w:pPr>
      <w:r>
        <w:t>There are sponsored research agreements with third-party rights claims</w:t>
      </w:r>
    </w:p>
    <w:p w14:paraId="68481F40" w14:textId="77777777" w:rsidR="00A30918" w:rsidRDefault="00894243">
      <w:pPr>
        <w:numPr>
          <w:ilvl w:val="0"/>
          <w:numId w:val="2"/>
        </w:numPr>
        <w:spacing w:before="50" w:after="50"/>
      </w:pPr>
      <w:r>
        <w:t>The company's founders, officers, or employees would be compensated from grant funds</w:t>
      </w:r>
    </w:p>
    <w:p w14:paraId="68481F41" w14:textId="77777777" w:rsidR="00A30918" w:rsidRDefault="00A3091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A30918" w14:paraId="68481F44" w14:textId="77777777">
        <w:tc>
          <w:tcPr>
            <w:tcW w:w="28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42" w14:textId="77777777" w:rsidR="00A30918" w:rsidRDefault="00894243">
            <w:r>
              <w:rPr>
                <w:b/>
                <w:bCs/>
                <w:color w:val="00243C"/>
                <w:sz w:val="21"/>
                <w:szCs w:val="21"/>
              </w:rPr>
              <w:t>Can grants be used for patent prosecution?</w:t>
            </w:r>
          </w:p>
        </w:tc>
        <w:tc>
          <w:tcPr>
            <w:tcW w:w="65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43" w14:textId="77777777" w:rsidR="00A30918" w:rsidRDefault="00894243">
            <w:r>
              <w:rPr>
                <w:sz w:val="21"/>
                <w:szCs w:val="21"/>
              </w:rPr>
              <w:t>No. Patent filing costs are not a permitted use of GRA grant funds.</w:t>
            </w:r>
          </w:p>
        </w:tc>
      </w:tr>
      <w:tr w:rsidR="00A30918" w14:paraId="68481F47" w14:textId="77777777">
        <w:tc>
          <w:tcPr>
            <w:tcW w:w="28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45" w14:textId="77777777" w:rsidR="00A30918" w:rsidRDefault="00894243">
            <w:r>
              <w:rPr>
                <w:b/>
                <w:bCs/>
                <w:color w:val="00243C"/>
                <w:sz w:val="21"/>
                <w:szCs w:val="21"/>
              </w:rPr>
              <w:t>Can equity holders be paid from grants?</w:t>
            </w:r>
          </w:p>
        </w:tc>
        <w:tc>
          <w:tcPr>
            <w:tcW w:w="65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46" w14:textId="77777777" w:rsidR="00A30918" w:rsidRDefault="00894243">
            <w:r>
              <w:rPr>
                <w:sz w:val="21"/>
                <w:szCs w:val="21"/>
              </w:rPr>
              <w:t>No. Founders, equity holders, option holders, warrants, and company employees cannot be compensated from university grant funds in ways that directly benefit the company.</w:t>
            </w:r>
          </w:p>
        </w:tc>
      </w:tr>
      <w:tr w:rsidR="00A30918" w14:paraId="68481F4A" w14:textId="77777777">
        <w:tc>
          <w:tcPr>
            <w:tcW w:w="28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48" w14:textId="77777777" w:rsidR="00A30918" w:rsidRDefault="00894243">
            <w:r>
              <w:rPr>
                <w:b/>
                <w:bCs/>
                <w:color w:val="00243C"/>
                <w:sz w:val="21"/>
                <w:szCs w:val="21"/>
              </w:rPr>
              <w:lastRenderedPageBreak/>
              <w:t>Can a project still be funded if an option exists?</w:t>
            </w:r>
          </w:p>
        </w:tc>
        <w:tc>
          <w:tcPr>
            <w:tcW w:w="65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49" w14:textId="77777777" w:rsidR="00A30918" w:rsidRDefault="00894243">
            <w:r>
              <w:rPr>
                <w:sz w:val="21"/>
                <w:szCs w:val="21"/>
              </w:rPr>
              <w:t>Potentially, but only if the work enhances university-controlled IP and doesn't automatically flow to the company. Evaluate carefully with the licensing team.</w:t>
            </w:r>
          </w:p>
        </w:tc>
      </w:tr>
      <w:tr w:rsidR="00A30918" w14:paraId="68481F4D" w14:textId="77777777">
        <w:tc>
          <w:tcPr>
            <w:tcW w:w="28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4B" w14:textId="77777777" w:rsidR="00A30918" w:rsidRDefault="00894243">
            <w:r>
              <w:rPr>
                <w:b/>
                <w:bCs/>
                <w:color w:val="00243C"/>
                <w:sz w:val="21"/>
                <w:szCs w:val="21"/>
              </w:rPr>
              <w:t>What about IP analysis or whitespace work?</w:t>
            </w:r>
          </w:p>
        </w:tc>
        <w:tc>
          <w:tcPr>
            <w:tcW w:w="65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4C" w14:textId="77777777" w:rsidR="00A30918" w:rsidRDefault="00894243">
            <w:r>
              <w:rPr>
                <w:sz w:val="21"/>
                <w:szCs w:val="21"/>
              </w:rPr>
              <w:t>A lightweight whitespace or IP landscape analysis is eligible under Exploratory Grants. Coordinate with the licensing team first, as university reps and warranties in licenses may be affected by what the university is seen to know.</w:t>
            </w:r>
          </w:p>
        </w:tc>
      </w:tr>
    </w:tbl>
    <w:p w14:paraId="68481F4E" w14:textId="62C4FAB7" w:rsidR="00A30918" w:rsidRDefault="00A30918"/>
    <w:p w14:paraId="68481F4F" w14:textId="77777777" w:rsidR="00A30918" w:rsidRDefault="00894243">
      <w:pPr>
        <w:keepNext/>
        <w:pBdr>
          <w:bottom w:val="single" w:sz="8" w:space="0" w:color="009CDE"/>
        </w:pBdr>
        <w:spacing w:before="260" w:after="100"/>
      </w:pPr>
      <w:r>
        <w:rPr>
          <w:b/>
          <w:bCs/>
          <w:color w:val="00243C"/>
          <w:sz w:val="26"/>
          <w:szCs w:val="26"/>
        </w:rPr>
        <w:t>Common Situations and How to Handle Them</w:t>
      </w:r>
    </w:p>
    <w:p w14:paraId="68481F50" w14:textId="77777777" w:rsidR="00A30918" w:rsidRDefault="00A3091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A30918" w14:paraId="68481F53" w14:textId="77777777">
        <w:trPr>
          <w:tblHeader/>
        </w:trPr>
        <w:tc>
          <w:tcPr>
            <w:tcW w:w="260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68481F51" w14:textId="77777777" w:rsidR="00A30918" w:rsidRDefault="00894243">
            <w:r>
              <w:rPr>
                <w:b/>
                <w:bCs/>
                <w:color w:val="FFFFFF"/>
                <w:sz w:val="21"/>
                <w:szCs w:val="21"/>
              </w:rPr>
              <w:t>Situation</w:t>
            </w:r>
          </w:p>
        </w:tc>
        <w:tc>
          <w:tcPr>
            <w:tcW w:w="676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68481F52" w14:textId="77777777" w:rsidR="00A30918" w:rsidRDefault="00894243">
            <w:r>
              <w:rPr>
                <w:b/>
                <w:bCs/>
                <w:color w:val="FFFFFF"/>
                <w:sz w:val="21"/>
                <w:szCs w:val="21"/>
              </w:rPr>
              <w:t>How to handle it</w:t>
            </w:r>
          </w:p>
        </w:tc>
      </w:tr>
      <w:tr w:rsidR="00A30918" w14:paraId="68481F56" w14:textId="77777777">
        <w:tc>
          <w:tcPr>
            <w:tcW w:w="2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54" w14:textId="77777777" w:rsidR="00A30918" w:rsidRDefault="00894243">
            <w:r>
              <w:rPr>
                <w:b/>
                <w:bCs/>
                <w:color w:val="00243C"/>
                <w:sz w:val="20"/>
                <w:szCs w:val="20"/>
              </w:rPr>
              <w:t>A company forms during an active grant</w:t>
            </w:r>
          </w:p>
        </w:tc>
        <w:tc>
          <w:tcPr>
            <w:tcW w:w="67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55" w14:textId="77777777" w:rsidR="00A30918" w:rsidRDefault="00894243">
            <w:r>
              <w:rPr>
                <w:color w:val="111111"/>
                <w:sz w:val="20"/>
                <w:szCs w:val="20"/>
              </w:rPr>
              <w:t>Do not stop the grant, but notify GRA. The grant must remain tied to permissible university-based work. Company activities should shift to a loan vehicle when appropriate.</w:t>
            </w:r>
          </w:p>
        </w:tc>
      </w:tr>
      <w:tr w:rsidR="00A30918" w14:paraId="68481F59" w14:textId="77777777">
        <w:tc>
          <w:tcPr>
            <w:tcW w:w="2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57" w14:textId="77777777" w:rsidR="00A30918" w:rsidRDefault="00894243">
            <w:r>
              <w:rPr>
                <w:b/>
                <w:bCs/>
                <w:color w:val="00243C"/>
                <w:sz w:val="20"/>
                <w:szCs w:val="20"/>
              </w:rPr>
              <w:t>A startup already exists around the technology</w:t>
            </w:r>
          </w:p>
        </w:tc>
        <w:tc>
          <w:tcPr>
            <w:tcW w:w="67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58" w14:textId="77777777" w:rsidR="00A30918" w:rsidRDefault="00894243">
            <w:r>
              <w:rPr>
                <w:color w:val="111111"/>
                <w:sz w:val="20"/>
                <w:szCs w:val="20"/>
              </w:rPr>
              <w:t>Grants still go to the university and must support translational work on university-controlled IP. Involve the licensing team early to check whether the company holds options, license rights, or automatic improvements. These affect fundability.</w:t>
            </w:r>
          </w:p>
        </w:tc>
      </w:tr>
      <w:tr w:rsidR="00A30918" w14:paraId="68481F5C" w14:textId="77777777">
        <w:tc>
          <w:tcPr>
            <w:tcW w:w="2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5A" w14:textId="77777777" w:rsidR="00A30918" w:rsidRDefault="00894243">
            <w:r>
              <w:rPr>
                <w:b/>
                <w:bCs/>
                <w:color w:val="00243C"/>
                <w:sz w:val="20"/>
                <w:szCs w:val="20"/>
              </w:rPr>
              <w:t>A project has a license or option already in place</w:t>
            </w:r>
          </w:p>
        </w:tc>
        <w:tc>
          <w:tcPr>
            <w:tcW w:w="67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5B" w14:textId="77777777" w:rsidR="00A30918" w:rsidRDefault="00894243">
            <w:r>
              <w:rPr>
                <w:color w:val="111111"/>
                <w:sz w:val="20"/>
                <w:szCs w:val="20"/>
              </w:rPr>
              <w:t>Engage the licensing team before submission. GRA cannot fund work that is already obligated to a company. The key question is whether the company controls future improvements from university work.</w:t>
            </w:r>
          </w:p>
        </w:tc>
      </w:tr>
      <w:tr w:rsidR="00A30918" w14:paraId="68481F5F" w14:textId="77777777">
        <w:tc>
          <w:tcPr>
            <w:tcW w:w="2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5D" w14:textId="77777777" w:rsidR="00A30918" w:rsidRDefault="00894243">
            <w:r>
              <w:rPr>
                <w:b/>
                <w:bCs/>
                <w:color w:val="00243C"/>
                <w:sz w:val="20"/>
                <w:szCs w:val="20"/>
              </w:rPr>
              <w:t>A proposal blends basic research and translational aims</w:t>
            </w:r>
          </w:p>
        </w:tc>
        <w:tc>
          <w:tcPr>
            <w:tcW w:w="67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5E" w14:textId="77777777" w:rsidR="00A30918" w:rsidRDefault="00894243">
            <w:r>
              <w:rPr>
                <w:color w:val="111111"/>
                <w:sz w:val="20"/>
                <w:szCs w:val="20"/>
              </w:rPr>
              <w:t>Narrow it to the translational milestone GRA is being asked to fund. Discovery aims better suited for NIH, NSF, or DoD should be removed before submission.</w:t>
            </w:r>
          </w:p>
        </w:tc>
      </w:tr>
      <w:tr w:rsidR="00A30918" w14:paraId="68481F62" w14:textId="77777777">
        <w:tc>
          <w:tcPr>
            <w:tcW w:w="2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60" w14:textId="77777777" w:rsidR="00A30918" w:rsidRDefault="00894243">
            <w:r>
              <w:rPr>
                <w:b/>
                <w:bCs/>
                <w:color w:val="00243C"/>
                <w:sz w:val="20"/>
                <w:szCs w:val="20"/>
              </w:rPr>
              <w:t>The project is too broad for Exploratory but not ready for Development</w:t>
            </w:r>
          </w:p>
        </w:tc>
        <w:tc>
          <w:tcPr>
            <w:tcW w:w="67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61" w14:textId="77777777" w:rsidR="00A30918" w:rsidRDefault="00894243">
            <w:r>
              <w:rPr>
                <w:color w:val="111111"/>
                <w:sz w:val="20"/>
                <w:szCs w:val="20"/>
              </w:rPr>
              <w:t>The team has not identified the key question clearly enough. Push them to define the single uncertainty that most needs to be resolved. That becomes the Exploratory question, or the first Development milestone.</w:t>
            </w:r>
          </w:p>
        </w:tc>
      </w:tr>
      <w:tr w:rsidR="00A30918" w14:paraId="68481F65" w14:textId="77777777">
        <w:tc>
          <w:tcPr>
            <w:tcW w:w="2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63" w14:textId="77777777" w:rsidR="00A30918" w:rsidRDefault="00894243">
            <w:r>
              <w:rPr>
                <w:b/>
                <w:bCs/>
                <w:color w:val="00243C"/>
                <w:sz w:val="20"/>
                <w:szCs w:val="20"/>
              </w:rPr>
              <w:t>Strong science, no customer or market identified</w:t>
            </w:r>
          </w:p>
        </w:tc>
        <w:tc>
          <w:tcPr>
            <w:tcW w:w="67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64" w14:textId="77777777" w:rsidR="00A30918" w:rsidRDefault="00894243">
            <w:r>
              <w:rPr>
                <w:color w:val="111111"/>
                <w:sz w:val="20"/>
                <w:szCs w:val="20"/>
              </w:rPr>
              <w:t>Not automatically disqualifying, but the proposal is weaker. The team should identify the likely user, buyer, or downstream partner, and explain what evidence they will generate to validate that demand, even at an early stage.</w:t>
            </w:r>
          </w:p>
        </w:tc>
      </w:tr>
      <w:tr w:rsidR="00A30918" w14:paraId="68481F68" w14:textId="77777777">
        <w:tc>
          <w:tcPr>
            <w:tcW w:w="2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66" w14:textId="77777777" w:rsidR="00A30918" w:rsidRDefault="00894243">
            <w:r>
              <w:rPr>
                <w:b/>
                <w:bCs/>
                <w:color w:val="00243C"/>
                <w:sz w:val="20"/>
                <w:szCs w:val="20"/>
              </w:rPr>
              <w:t>Excellent technical milestones but no benchmarking</w:t>
            </w:r>
          </w:p>
        </w:tc>
        <w:tc>
          <w:tcPr>
            <w:tcW w:w="67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67" w14:textId="77777777" w:rsidR="00A30918" w:rsidRDefault="00894243">
            <w:r>
              <w:rPr>
                <w:color w:val="111111"/>
                <w:sz w:val="20"/>
                <w:szCs w:val="20"/>
              </w:rPr>
              <w:t>Flag this. GRA reviewers look for milestones that show comparative advantage. Even a small, targeted head-to-head comparison can strengthen the proposal significantly.</w:t>
            </w:r>
          </w:p>
        </w:tc>
      </w:tr>
      <w:tr w:rsidR="00A30918" w14:paraId="68481F6B" w14:textId="77777777">
        <w:tc>
          <w:tcPr>
            <w:tcW w:w="2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69" w14:textId="77777777" w:rsidR="00A30918" w:rsidRDefault="00894243">
            <w:r>
              <w:rPr>
                <w:b/>
                <w:bCs/>
                <w:color w:val="00243C"/>
                <w:sz w:val="20"/>
                <w:szCs w:val="20"/>
              </w:rPr>
              <w:t>A faculty member is difficult to coach or scope appropriately</w:t>
            </w:r>
          </w:p>
        </w:tc>
        <w:tc>
          <w:tcPr>
            <w:tcW w:w="67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6A" w14:textId="77777777" w:rsidR="00A30918" w:rsidRDefault="00894243">
            <w:r>
              <w:rPr>
                <w:color w:val="111111"/>
                <w:sz w:val="20"/>
                <w:szCs w:val="20"/>
              </w:rPr>
              <w:t>Share that context with GRA privately. Team dynamics, management issues, and institutional considerations that affect execution risk are exactly what reps can surface that GRA cannot see from proposals alone.</w:t>
            </w:r>
          </w:p>
        </w:tc>
      </w:tr>
    </w:tbl>
    <w:p w14:paraId="68481F6C" w14:textId="77777777" w:rsidR="00A30918" w:rsidRDefault="00A30918">
      <w:pPr>
        <w:spacing w:before="160"/>
      </w:pPr>
    </w:p>
    <w:p w14:paraId="68481F6D" w14:textId="77777777" w:rsidR="00A30918" w:rsidRDefault="00894243">
      <w:pPr>
        <w:keepNext/>
        <w:pBdr>
          <w:bottom w:val="single" w:sz="8" w:space="0" w:color="009CDE"/>
        </w:pBdr>
        <w:spacing w:before="260" w:after="100"/>
      </w:pPr>
      <w:r>
        <w:rPr>
          <w:b/>
          <w:bCs/>
          <w:color w:val="00243C"/>
          <w:sz w:val="26"/>
          <w:szCs w:val="26"/>
        </w:rPr>
        <w:lastRenderedPageBreak/>
        <w:t>Reach Out to GRA When…</w:t>
      </w:r>
    </w:p>
    <w:p w14:paraId="68481F6E" w14:textId="77777777" w:rsidR="00A30918" w:rsidRDefault="00894243">
      <w:pPr>
        <w:spacing w:before="60" w:after="60"/>
      </w:pPr>
      <w:r>
        <w:rPr>
          <w:color w:val="111111"/>
        </w:rPr>
        <w:t>You don't need to wait for a formal submission to contact us. Reach out early, or at any point during an active project, for any of the following:</w:t>
      </w:r>
    </w:p>
    <w:p w14:paraId="68481F6F" w14:textId="77777777" w:rsidR="00A30918" w:rsidRDefault="00A3091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A30918" w14:paraId="68481F72"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0" w14:textId="77777777" w:rsidR="00A30918" w:rsidRDefault="00894243">
            <w:r>
              <w:rPr>
                <w:b/>
                <w:bCs/>
                <w:color w:val="00243C"/>
                <w:sz w:val="21"/>
                <w:szCs w:val="21"/>
              </w:rPr>
              <w:t>A project is approaching submission and you're not sure it's ready</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71" w14:textId="77777777" w:rsidR="00A30918" w:rsidRDefault="00894243">
            <w:r>
              <w:rPr>
                <w:sz w:val="21"/>
                <w:szCs w:val="21"/>
              </w:rPr>
              <w:t>We'd rather talk it through now than return it after review. Email or call us. We will give you honest feedback.</w:t>
            </w:r>
          </w:p>
        </w:tc>
      </w:tr>
      <w:tr w:rsidR="00A30918" w14:paraId="68481F75"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3" w14:textId="77777777" w:rsidR="00A30918" w:rsidRDefault="00894243">
            <w:r>
              <w:rPr>
                <w:b/>
                <w:bCs/>
                <w:color w:val="00243C"/>
                <w:sz w:val="21"/>
                <w:szCs w:val="21"/>
              </w:rPr>
              <w:t>A larger grant is being considered ($100K+)</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74" w14:textId="77777777" w:rsidR="00A30918" w:rsidRDefault="00894243">
            <w:r>
              <w:rPr>
                <w:sz w:val="21"/>
                <w:szCs w:val="21"/>
              </w:rPr>
              <w:t>For high-budget proposals, connect with us before the PI writes the full proposal. We can help scope it appropriately and flag issues early.</w:t>
            </w:r>
          </w:p>
        </w:tc>
      </w:tr>
      <w:tr w:rsidR="00A30918" w14:paraId="68481F78"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6" w14:textId="77777777" w:rsidR="00A30918" w:rsidRDefault="00894243">
            <w:r>
              <w:rPr>
                <w:b/>
                <w:bCs/>
                <w:color w:val="00243C"/>
                <w:sz w:val="21"/>
                <w:szCs w:val="21"/>
              </w:rPr>
              <w:t>There's been a pivot or a change in scope mid-grant</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77" w14:textId="77777777" w:rsidR="00A30918" w:rsidRDefault="00894243">
            <w:r>
              <w:rPr>
                <w:sz w:val="21"/>
                <w:szCs w:val="21"/>
              </w:rPr>
              <w:t>Tell us. We don't want surprises at the progress report. If the science has pivoted, the milestone may need to change. That is a conversation, not a problem.</w:t>
            </w:r>
          </w:p>
        </w:tc>
      </w:tr>
      <w:tr w:rsidR="00A30918" w14:paraId="68481F7B"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9" w14:textId="77777777" w:rsidR="00A30918" w:rsidRDefault="00894243">
            <w:r>
              <w:rPr>
                <w:b/>
                <w:bCs/>
                <w:color w:val="00243C"/>
                <w:sz w:val="21"/>
                <w:szCs w:val="21"/>
              </w:rPr>
              <w:t>The team has hit a milestone early and is ready for next steps</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7A" w14:textId="77777777" w:rsidR="00A30918" w:rsidRDefault="00894243">
            <w:r>
              <w:rPr>
                <w:sz w:val="21"/>
                <w:szCs w:val="21"/>
              </w:rPr>
              <w:t>Don't wait for the six-month report. If a project has moved quickly and there's a natural next submission, reach out and we'll help sequence it.</w:t>
            </w:r>
          </w:p>
        </w:tc>
      </w:tr>
      <w:tr w:rsidR="00A30918" w14:paraId="68481F7E"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C" w14:textId="77777777" w:rsidR="00A30918" w:rsidRDefault="00894243">
            <w:r>
              <w:rPr>
                <w:b/>
                <w:bCs/>
                <w:color w:val="00243C"/>
                <w:sz w:val="21"/>
                <w:szCs w:val="21"/>
              </w:rPr>
              <w:t>You're aware of team dynamics, management issues, or institutional factors affecting a project</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7D" w14:textId="77777777" w:rsidR="00A30918" w:rsidRDefault="00894243">
            <w:r>
              <w:rPr>
                <w:sz w:val="21"/>
                <w:szCs w:val="21"/>
              </w:rPr>
              <w:t>Share that with us privately. It helps us understand execution risk and engage more appropriately with teams.</w:t>
            </w:r>
          </w:p>
        </w:tc>
      </w:tr>
      <w:tr w:rsidR="00A30918" w14:paraId="68481F81"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7F" w14:textId="77777777" w:rsidR="00A30918" w:rsidRDefault="00894243">
            <w:r>
              <w:rPr>
                <w:b/>
                <w:bCs/>
                <w:color w:val="00243C"/>
                <w:sz w:val="21"/>
                <w:szCs w:val="21"/>
              </w:rPr>
              <w:t>A funded company is ready for investor conversations</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80" w14:textId="77777777" w:rsidR="00A30918" w:rsidRDefault="00894243">
            <w:r>
              <w:rPr>
                <w:sz w:val="21"/>
                <w:szCs w:val="21"/>
              </w:rPr>
              <w:t>Let us know. We have VC and angel contacts and can make introductions at the right moment. We want GRA-backed projects in front of capital.</w:t>
            </w:r>
          </w:p>
        </w:tc>
      </w:tr>
      <w:tr w:rsidR="00A30918" w14:paraId="68481F84"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82" w14:textId="77777777" w:rsidR="00A30918" w:rsidRDefault="00894243">
            <w:r>
              <w:rPr>
                <w:b/>
                <w:bCs/>
                <w:color w:val="00243C"/>
                <w:sz w:val="21"/>
                <w:szCs w:val="21"/>
              </w:rPr>
              <w:t>There's a new invention disclosure or startup opportunity that looks like a strong GRA fit</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83" w14:textId="77777777" w:rsidR="00A30918" w:rsidRDefault="00894243">
            <w:r>
              <w:rPr>
                <w:sz w:val="21"/>
                <w:szCs w:val="21"/>
              </w:rPr>
              <w:t>Flag it early. You're our eyes and ears on campus. The earlier we know about a project, the more useful we can be.</w:t>
            </w:r>
          </w:p>
        </w:tc>
      </w:tr>
      <w:tr w:rsidR="00A30918" w14:paraId="68481F87"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85" w14:textId="77777777" w:rsidR="00A30918" w:rsidRDefault="00894243">
            <w:r>
              <w:rPr>
                <w:b/>
                <w:bCs/>
                <w:color w:val="00243C"/>
                <w:sz w:val="21"/>
                <w:szCs w:val="21"/>
              </w:rPr>
              <w:t>You have questions about anything</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86" w14:textId="77777777" w:rsidR="00A30918" w:rsidRDefault="00894243">
            <w:r>
              <w:rPr>
                <w:sz w:val="21"/>
                <w:szCs w:val="21"/>
              </w:rPr>
              <w:t>Grants@GRA.org reaches the full team. We all monitor it and you will get a response. You can also reach Justin, Andrew, or Connor directly.</w:t>
            </w:r>
          </w:p>
        </w:tc>
      </w:tr>
    </w:tbl>
    <w:p w14:paraId="68481F88" w14:textId="77777777" w:rsidR="00A30918" w:rsidRDefault="00A30918">
      <w:pPr>
        <w:spacing w:before="160"/>
      </w:pPr>
    </w:p>
    <w:p w14:paraId="19EAE434" w14:textId="77777777" w:rsidR="00B20E60" w:rsidRDefault="00B20E60">
      <w:pPr>
        <w:rPr>
          <w:b/>
          <w:bCs/>
          <w:color w:val="00243C"/>
          <w:sz w:val="26"/>
          <w:szCs w:val="26"/>
        </w:rPr>
      </w:pPr>
      <w:r>
        <w:rPr>
          <w:b/>
          <w:bCs/>
          <w:color w:val="00243C"/>
          <w:sz w:val="26"/>
          <w:szCs w:val="26"/>
        </w:rPr>
        <w:br w:type="page"/>
      </w:r>
    </w:p>
    <w:p w14:paraId="68481F89" w14:textId="77777777" w:rsidR="00A30918" w:rsidRDefault="00894243">
      <w:pPr>
        <w:keepNext/>
        <w:pBdr>
          <w:bottom w:val="single" w:sz="8" w:space="0" w:color="009CDE"/>
        </w:pBdr>
        <w:spacing w:before="260" w:after="100"/>
      </w:pPr>
      <w:r>
        <w:rPr>
          <w:b/>
          <w:bCs/>
          <w:color w:val="00243C"/>
          <w:sz w:val="26"/>
          <w:szCs w:val="26"/>
        </w:rPr>
        <w:lastRenderedPageBreak/>
        <w:t>Review Cycle Reference  ·  FY Jul – Jun</w:t>
      </w:r>
    </w:p>
    <w:p w14:paraId="68481F8A" w14:textId="77777777" w:rsidR="00A30918" w:rsidRDefault="00894243">
      <w:pPr>
        <w:spacing w:before="60" w:after="60"/>
      </w:pPr>
      <w:r>
        <w:rPr>
          <w:color w:val="111111"/>
        </w:rPr>
        <w:t>Development Grants are reviewed on a fixed six-cycle annual schedule. Submissions are accepted at any time; cutoff dates determine when a proposal enters formal review. Exploratory Grants remain on rolling submission and are reviewed as they arrive.</w:t>
      </w:r>
    </w:p>
    <w:p w14:paraId="68481F8B" w14:textId="77777777" w:rsidR="00A30918" w:rsidRDefault="00A30918">
      <w:pPr>
        <w:spacing w:before="80"/>
      </w:pP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9"/>
        <w:gridCol w:w="1358"/>
        <w:gridCol w:w="1034"/>
        <w:gridCol w:w="2049"/>
        <w:gridCol w:w="1850"/>
      </w:tblGrid>
      <w:tr w:rsidR="001F39F5" w14:paraId="68481F91" w14:textId="77777777" w:rsidTr="00913774">
        <w:trPr>
          <w:trHeight w:val="50"/>
          <w:tblHeader/>
          <w:jc w:val="center"/>
        </w:trPr>
        <w:tc>
          <w:tcPr>
            <w:tcW w:w="1709" w:type="dxa"/>
            <w:vMerge w:val="restart"/>
            <w:tcBorders>
              <w:top w:val="single" w:sz="1" w:space="0" w:color="BBCFDD"/>
              <w:left w:val="single" w:sz="1" w:space="0" w:color="BBCFDD"/>
              <w:right w:val="single" w:sz="1" w:space="0" w:color="BBCFDD"/>
            </w:tcBorders>
            <w:shd w:val="clear" w:color="auto" w:fill="00243C"/>
            <w:vAlign w:val="center"/>
          </w:tcPr>
          <w:p w14:paraId="7D7D6A65" w14:textId="59FD1618" w:rsidR="001F39F5" w:rsidRDefault="001F39F5" w:rsidP="00913774">
            <w:pPr>
              <w:jc w:val="center"/>
              <w:rPr>
                <w:b/>
                <w:bCs/>
                <w:color w:val="FFFFFF"/>
                <w:sz w:val="21"/>
                <w:szCs w:val="21"/>
              </w:rPr>
            </w:pPr>
            <w:r>
              <w:rPr>
                <w:b/>
                <w:bCs/>
                <w:color w:val="FFFFFF"/>
                <w:sz w:val="21"/>
                <w:szCs w:val="21"/>
              </w:rPr>
              <w:t>Cycle</w:t>
            </w:r>
          </w:p>
        </w:tc>
        <w:tc>
          <w:tcPr>
            <w:tcW w:w="2392" w:type="dxa"/>
            <w:gridSpan w:val="2"/>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68481F8D" w14:textId="77777777" w:rsidR="001F39F5" w:rsidRDefault="001F39F5" w:rsidP="00D34E70">
            <w:pPr>
              <w:jc w:val="center"/>
            </w:pPr>
            <w:r>
              <w:rPr>
                <w:b/>
                <w:bCs/>
                <w:color w:val="FFFFFF"/>
                <w:sz w:val="21"/>
                <w:szCs w:val="21"/>
              </w:rPr>
              <w:t>Submission Window</w:t>
            </w:r>
          </w:p>
        </w:tc>
        <w:tc>
          <w:tcPr>
            <w:tcW w:w="2049" w:type="dxa"/>
            <w:vMerge w:val="restart"/>
            <w:tcBorders>
              <w:top w:val="single" w:sz="1" w:space="0" w:color="BBCFDD"/>
              <w:left w:val="single" w:sz="1" w:space="0" w:color="BBCFDD"/>
              <w:right w:val="single" w:sz="1" w:space="0" w:color="BBCFDD"/>
            </w:tcBorders>
            <w:shd w:val="clear" w:color="auto" w:fill="00243C"/>
            <w:tcMar>
              <w:top w:w="80" w:type="dxa"/>
              <w:left w:w="120" w:type="dxa"/>
              <w:bottom w:w="80" w:type="dxa"/>
              <w:right w:w="120" w:type="dxa"/>
            </w:tcMar>
            <w:vAlign w:val="center"/>
          </w:tcPr>
          <w:p w14:paraId="68481F8E" w14:textId="77777777" w:rsidR="001F39F5" w:rsidRDefault="001F39F5" w:rsidP="00913774">
            <w:pPr>
              <w:jc w:val="center"/>
            </w:pPr>
            <w:r>
              <w:rPr>
                <w:b/>
                <w:bCs/>
                <w:color w:val="FFFFFF"/>
                <w:sz w:val="21"/>
                <w:szCs w:val="21"/>
              </w:rPr>
              <w:t>GRA Review Period</w:t>
            </w:r>
          </w:p>
        </w:tc>
        <w:tc>
          <w:tcPr>
            <w:tcW w:w="1850" w:type="dxa"/>
            <w:vMerge w:val="restart"/>
            <w:tcBorders>
              <w:top w:val="single" w:sz="1" w:space="0" w:color="BBCFDD"/>
              <w:left w:val="single" w:sz="1" w:space="0" w:color="BBCFDD"/>
              <w:right w:val="single" w:sz="1" w:space="0" w:color="BBCFDD"/>
            </w:tcBorders>
            <w:shd w:val="clear" w:color="auto" w:fill="00243C"/>
            <w:tcMar>
              <w:top w:w="80" w:type="dxa"/>
              <w:left w:w="120" w:type="dxa"/>
              <w:bottom w:w="80" w:type="dxa"/>
              <w:right w:w="120" w:type="dxa"/>
            </w:tcMar>
            <w:vAlign w:val="center"/>
          </w:tcPr>
          <w:p w14:paraId="68481F8F" w14:textId="77777777" w:rsidR="001F39F5" w:rsidRDefault="001F39F5" w:rsidP="00913774">
            <w:pPr>
              <w:jc w:val="center"/>
            </w:pPr>
            <w:r>
              <w:rPr>
                <w:b/>
                <w:bCs/>
                <w:color w:val="FFFFFF"/>
                <w:sz w:val="21"/>
                <w:szCs w:val="21"/>
              </w:rPr>
              <w:t>Decision &amp; Awards</w:t>
            </w:r>
          </w:p>
        </w:tc>
      </w:tr>
      <w:tr w:rsidR="001F39F5" w14:paraId="22697D82" w14:textId="77777777" w:rsidTr="00913774">
        <w:trPr>
          <w:trHeight w:val="50"/>
          <w:tblHeader/>
          <w:jc w:val="center"/>
        </w:trPr>
        <w:tc>
          <w:tcPr>
            <w:tcW w:w="1709" w:type="dxa"/>
            <w:vMerge/>
            <w:tcBorders>
              <w:left w:val="single" w:sz="1" w:space="0" w:color="BBCFDD"/>
              <w:bottom w:val="single" w:sz="1" w:space="0" w:color="BBCFDD"/>
              <w:right w:val="single" w:sz="1" w:space="0" w:color="BBCFDD"/>
            </w:tcBorders>
            <w:shd w:val="clear" w:color="auto" w:fill="00243C"/>
          </w:tcPr>
          <w:p w14:paraId="17DFF837" w14:textId="77777777" w:rsidR="001F39F5" w:rsidRDefault="001F39F5" w:rsidP="004110C5">
            <w:pPr>
              <w:jc w:val="center"/>
              <w:rPr>
                <w:b/>
                <w:bCs/>
                <w:color w:val="FFFFFF"/>
                <w:sz w:val="21"/>
                <w:szCs w:val="21"/>
              </w:rPr>
            </w:pPr>
          </w:p>
        </w:tc>
        <w:tc>
          <w:tcPr>
            <w:tcW w:w="1358"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DADA7C4" w14:textId="403E56B3" w:rsidR="001F39F5" w:rsidRDefault="001F39F5" w:rsidP="004110C5">
            <w:pPr>
              <w:jc w:val="center"/>
              <w:rPr>
                <w:b/>
                <w:bCs/>
                <w:color w:val="FFFFFF"/>
                <w:sz w:val="21"/>
                <w:szCs w:val="21"/>
              </w:rPr>
            </w:pPr>
            <w:r>
              <w:rPr>
                <w:b/>
                <w:bCs/>
                <w:color w:val="FFFFFF"/>
                <w:sz w:val="21"/>
                <w:szCs w:val="21"/>
              </w:rPr>
              <w:t>Open</w:t>
            </w:r>
          </w:p>
        </w:tc>
        <w:tc>
          <w:tcPr>
            <w:tcW w:w="1034" w:type="dxa"/>
            <w:tcBorders>
              <w:top w:val="single" w:sz="1" w:space="0" w:color="BBCFDD"/>
              <w:left w:val="single" w:sz="1" w:space="0" w:color="BBCFDD"/>
              <w:bottom w:val="single" w:sz="1" w:space="0" w:color="BBCFDD"/>
              <w:right w:val="single" w:sz="1" w:space="0" w:color="BBCFDD"/>
            </w:tcBorders>
            <w:shd w:val="clear" w:color="auto" w:fill="00243C"/>
          </w:tcPr>
          <w:p w14:paraId="6492038B" w14:textId="1C180EEF" w:rsidR="001F39F5" w:rsidRDefault="001F39F5" w:rsidP="004110C5">
            <w:pPr>
              <w:jc w:val="center"/>
              <w:rPr>
                <w:b/>
                <w:bCs/>
                <w:color w:val="FFFFFF"/>
                <w:sz w:val="21"/>
                <w:szCs w:val="21"/>
              </w:rPr>
            </w:pPr>
            <w:r>
              <w:rPr>
                <w:b/>
                <w:bCs/>
                <w:color w:val="FFFFFF"/>
                <w:sz w:val="21"/>
                <w:szCs w:val="21"/>
              </w:rPr>
              <w:t>Close</w:t>
            </w:r>
          </w:p>
        </w:tc>
        <w:tc>
          <w:tcPr>
            <w:tcW w:w="2049" w:type="dxa"/>
            <w:vMerge/>
            <w:tcBorders>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509ED9B7" w14:textId="77777777" w:rsidR="001F39F5" w:rsidRDefault="001F39F5">
            <w:pPr>
              <w:rPr>
                <w:b/>
                <w:bCs/>
                <w:color w:val="FFFFFF"/>
                <w:sz w:val="21"/>
                <w:szCs w:val="21"/>
              </w:rPr>
            </w:pPr>
          </w:p>
        </w:tc>
        <w:tc>
          <w:tcPr>
            <w:tcW w:w="1850" w:type="dxa"/>
            <w:vMerge/>
            <w:tcBorders>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791322BC" w14:textId="77777777" w:rsidR="001F39F5" w:rsidRDefault="001F39F5">
            <w:pPr>
              <w:rPr>
                <w:b/>
                <w:bCs/>
                <w:color w:val="FFFFFF"/>
                <w:sz w:val="21"/>
                <w:szCs w:val="21"/>
              </w:rPr>
            </w:pPr>
          </w:p>
        </w:tc>
      </w:tr>
      <w:tr w:rsidR="001F39F5" w14:paraId="68481F97"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233C"/>
          </w:tcPr>
          <w:p w14:paraId="5AB73AA0" w14:textId="315FF130" w:rsidR="001F39F5" w:rsidRPr="00DF638E" w:rsidRDefault="001F39F5" w:rsidP="00B24E1C">
            <w:pPr>
              <w:jc w:val="center"/>
              <w:rPr>
                <w:b/>
                <w:bCs/>
                <w:color w:val="FFFFFF" w:themeColor="background1"/>
              </w:rPr>
            </w:pPr>
            <w:r w:rsidRPr="00DF638E">
              <w:rPr>
                <w:b/>
                <w:bCs/>
                <w:color w:val="FFFFFF" w:themeColor="background1"/>
              </w:rPr>
              <w:t>Cycle 1</w:t>
            </w:r>
          </w:p>
        </w:tc>
        <w:tc>
          <w:tcPr>
            <w:tcW w:w="1358"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3B05B27C" w14:textId="798ECDB4" w:rsidR="001F39F5" w:rsidRDefault="001F39F5" w:rsidP="00B24E1C">
            <w:pPr>
              <w:jc w:val="center"/>
            </w:pPr>
            <w:r>
              <w:t>Jun 2</w:t>
            </w:r>
          </w:p>
        </w:tc>
        <w:tc>
          <w:tcPr>
            <w:tcW w:w="1034" w:type="dxa"/>
            <w:tcBorders>
              <w:top w:val="single" w:sz="1" w:space="0" w:color="BBCFDD"/>
              <w:left w:val="single" w:sz="1" w:space="0" w:color="BBCFDD"/>
              <w:bottom w:val="single" w:sz="1" w:space="0" w:color="BBCFDD"/>
              <w:right w:val="single" w:sz="1" w:space="0" w:color="BBCFDD"/>
            </w:tcBorders>
            <w:shd w:val="clear" w:color="auto" w:fill="F0F6FA"/>
          </w:tcPr>
          <w:p w14:paraId="723B7216" w14:textId="6B90ED23" w:rsidR="001F39F5" w:rsidRDefault="001F39F5" w:rsidP="00B24E1C">
            <w:pPr>
              <w:jc w:val="center"/>
            </w:pPr>
            <w:r>
              <w:t>Aug 3</w:t>
            </w:r>
          </w:p>
        </w:tc>
        <w:tc>
          <w:tcPr>
            <w:tcW w:w="2049"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94" w14:textId="77777777" w:rsidR="001F39F5" w:rsidRDefault="001F39F5" w:rsidP="00B24E1C">
            <w:pPr>
              <w:jc w:val="center"/>
            </w:pPr>
            <w:r>
              <w:rPr>
                <w:color w:val="111111"/>
                <w:sz w:val="20"/>
                <w:szCs w:val="20"/>
              </w:rPr>
              <w:t>Aug 12 – Aug 26</w:t>
            </w:r>
          </w:p>
        </w:tc>
        <w:tc>
          <w:tcPr>
            <w:tcW w:w="185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95" w14:textId="77777777" w:rsidR="001F39F5" w:rsidRDefault="001F39F5" w:rsidP="00B24E1C">
            <w:pPr>
              <w:jc w:val="center"/>
            </w:pPr>
            <w:r>
              <w:rPr>
                <w:b/>
                <w:bCs/>
                <w:color w:val="2D7A00"/>
                <w:sz w:val="20"/>
                <w:szCs w:val="20"/>
              </w:rPr>
              <w:t>✓ Aug 27</w:t>
            </w:r>
          </w:p>
        </w:tc>
      </w:tr>
      <w:tr w:rsidR="001F39F5" w14:paraId="68481F9D"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9DDE"/>
          </w:tcPr>
          <w:p w14:paraId="2DC673EF" w14:textId="591A09E5" w:rsidR="001F39F5" w:rsidRPr="00DF638E" w:rsidRDefault="001F39F5" w:rsidP="00B24E1C">
            <w:pPr>
              <w:jc w:val="center"/>
              <w:rPr>
                <w:b/>
                <w:bCs/>
                <w:color w:val="FFFFFF" w:themeColor="background1"/>
              </w:rPr>
            </w:pPr>
            <w:r w:rsidRPr="00DF638E">
              <w:rPr>
                <w:b/>
                <w:bCs/>
                <w:color w:val="FFFFFF" w:themeColor="background1"/>
              </w:rPr>
              <w:t>Cycle 2</w:t>
            </w:r>
          </w:p>
        </w:tc>
        <w:tc>
          <w:tcPr>
            <w:tcW w:w="1358"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761B80D3" w14:textId="26CFC298" w:rsidR="001F39F5" w:rsidRDefault="001F39F5" w:rsidP="00B24E1C">
            <w:pPr>
              <w:jc w:val="center"/>
            </w:pPr>
            <w:r>
              <w:t>Aug 4</w:t>
            </w:r>
          </w:p>
        </w:tc>
        <w:tc>
          <w:tcPr>
            <w:tcW w:w="1034" w:type="dxa"/>
            <w:tcBorders>
              <w:top w:val="single" w:sz="1" w:space="0" w:color="BBCFDD"/>
              <w:left w:val="single" w:sz="1" w:space="0" w:color="BBCFDD"/>
              <w:bottom w:val="single" w:sz="1" w:space="0" w:color="BBCFDD"/>
              <w:right w:val="single" w:sz="1" w:space="0" w:color="BBCFDD"/>
            </w:tcBorders>
            <w:shd w:val="clear" w:color="auto" w:fill="FFFFFF"/>
          </w:tcPr>
          <w:p w14:paraId="6D94B3B8" w14:textId="77777777" w:rsidR="001F39F5" w:rsidRDefault="001F39F5" w:rsidP="00B24E1C">
            <w:pPr>
              <w:jc w:val="center"/>
            </w:pPr>
            <w:r>
              <w:t>Sep 28</w:t>
            </w:r>
          </w:p>
        </w:tc>
        <w:tc>
          <w:tcPr>
            <w:tcW w:w="2049"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9A" w14:textId="77777777" w:rsidR="001F39F5" w:rsidRDefault="001F39F5" w:rsidP="00B24E1C">
            <w:pPr>
              <w:jc w:val="center"/>
            </w:pPr>
            <w:r>
              <w:rPr>
                <w:color w:val="111111"/>
                <w:sz w:val="20"/>
                <w:szCs w:val="20"/>
              </w:rPr>
              <w:t>Oct 7 – Oct 20</w:t>
            </w:r>
          </w:p>
        </w:tc>
        <w:tc>
          <w:tcPr>
            <w:tcW w:w="185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9B" w14:textId="77777777" w:rsidR="001F39F5" w:rsidRDefault="001F39F5" w:rsidP="00B24E1C">
            <w:pPr>
              <w:jc w:val="center"/>
            </w:pPr>
            <w:r>
              <w:rPr>
                <w:b/>
                <w:bCs/>
                <w:color w:val="2D7A00"/>
                <w:sz w:val="20"/>
                <w:szCs w:val="20"/>
              </w:rPr>
              <w:t>✓ Oct 21</w:t>
            </w:r>
          </w:p>
        </w:tc>
      </w:tr>
      <w:tr w:rsidR="001F39F5" w14:paraId="68481FA3"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233C"/>
          </w:tcPr>
          <w:p w14:paraId="781FD284" w14:textId="3570E721" w:rsidR="001F39F5" w:rsidRPr="00DF638E" w:rsidRDefault="001F39F5" w:rsidP="00B24E1C">
            <w:pPr>
              <w:jc w:val="center"/>
              <w:rPr>
                <w:b/>
                <w:bCs/>
                <w:color w:val="FFFFFF" w:themeColor="background1"/>
              </w:rPr>
            </w:pPr>
            <w:r w:rsidRPr="00DF638E">
              <w:rPr>
                <w:b/>
                <w:bCs/>
                <w:color w:val="FFFFFF" w:themeColor="background1"/>
              </w:rPr>
              <w:t>Cycle 3</w:t>
            </w:r>
          </w:p>
        </w:tc>
        <w:tc>
          <w:tcPr>
            <w:tcW w:w="1358"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5193AA7" w14:textId="6B2C8AA5" w:rsidR="001F39F5" w:rsidRDefault="001F39F5" w:rsidP="00B24E1C">
            <w:pPr>
              <w:jc w:val="center"/>
            </w:pPr>
            <w:r>
              <w:t>Sep 29</w:t>
            </w:r>
          </w:p>
        </w:tc>
        <w:tc>
          <w:tcPr>
            <w:tcW w:w="1034" w:type="dxa"/>
            <w:tcBorders>
              <w:top w:val="single" w:sz="1" w:space="0" w:color="BBCFDD"/>
              <w:left w:val="single" w:sz="1" w:space="0" w:color="BBCFDD"/>
              <w:bottom w:val="single" w:sz="1" w:space="0" w:color="BBCFDD"/>
              <w:right w:val="single" w:sz="1" w:space="0" w:color="BBCFDD"/>
            </w:tcBorders>
            <w:shd w:val="clear" w:color="auto" w:fill="F0F6FA"/>
          </w:tcPr>
          <w:p w14:paraId="7CBF921A" w14:textId="77777777" w:rsidR="001F39F5" w:rsidRDefault="001F39F5" w:rsidP="00B24E1C">
            <w:pPr>
              <w:jc w:val="center"/>
            </w:pPr>
            <w:r>
              <w:t>Nov 23</w:t>
            </w:r>
          </w:p>
        </w:tc>
        <w:tc>
          <w:tcPr>
            <w:tcW w:w="2049"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A0" w14:textId="77777777" w:rsidR="001F39F5" w:rsidRDefault="001F39F5" w:rsidP="00B24E1C">
            <w:pPr>
              <w:jc w:val="center"/>
            </w:pPr>
            <w:r>
              <w:rPr>
                <w:color w:val="111111"/>
                <w:sz w:val="20"/>
                <w:szCs w:val="20"/>
              </w:rPr>
              <w:t>Dec 2 – Dec 15</w:t>
            </w:r>
          </w:p>
        </w:tc>
        <w:tc>
          <w:tcPr>
            <w:tcW w:w="185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A1" w14:textId="77777777" w:rsidR="001F39F5" w:rsidRDefault="001F39F5" w:rsidP="00B24E1C">
            <w:pPr>
              <w:jc w:val="center"/>
            </w:pPr>
            <w:r>
              <w:rPr>
                <w:b/>
                <w:bCs/>
                <w:color w:val="2D7A00"/>
                <w:sz w:val="20"/>
                <w:szCs w:val="20"/>
              </w:rPr>
              <w:t>✓ Dec 16</w:t>
            </w:r>
          </w:p>
        </w:tc>
      </w:tr>
      <w:tr w:rsidR="001F39F5" w14:paraId="68481FA9"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9DDE"/>
          </w:tcPr>
          <w:p w14:paraId="5A21DC5A" w14:textId="2CA6040F" w:rsidR="001F39F5" w:rsidRPr="00DF638E" w:rsidRDefault="001F39F5" w:rsidP="00B24E1C">
            <w:pPr>
              <w:jc w:val="center"/>
              <w:rPr>
                <w:b/>
                <w:bCs/>
                <w:color w:val="FFFFFF" w:themeColor="background1"/>
              </w:rPr>
            </w:pPr>
            <w:r w:rsidRPr="00DF638E">
              <w:rPr>
                <w:b/>
                <w:bCs/>
                <w:color w:val="FFFFFF" w:themeColor="background1"/>
              </w:rPr>
              <w:t>Cycle 4</w:t>
            </w:r>
          </w:p>
        </w:tc>
        <w:tc>
          <w:tcPr>
            <w:tcW w:w="1358"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5DED07D7" w14:textId="16E26CA1" w:rsidR="001F39F5" w:rsidRDefault="001F39F5" w:rsidP="00B24E1C">
            <w:pPr>
              <w:jc w:val="center"/>
            </w:pPr>
            <w:r>
              <w:t>Nov 24</w:t>
            </w:r>
          </w:p>
        </w:tc>
        <w:tc>
          <w:tcPr>
            <w:tcW w:w="1034" w:type="dxa"/>
            <w:tcBorders>
              <w:top w:val="single" w:sz="1" w:space="0" w:color="BBCFDD"/>
              <w:left w:val="single" w:sz="1" w:space="0" w:color="BBCFDD"/>
              <w:bottom w:val="single" w:sz="1" w:space="0" w:color="BBCFDD"/>
              <w:right w:val="single" w:sz="1" w:space="0" w:color="BBCFDD"/>
            </w:tcBorders>
            <w:shd w:val="clear" w:color="auto" w:fill="FFFFFF"/>
          </w:tcPr>
          <w:p w14:paraId="5C54DDD0" w14:textId="77777777" w:rsidR="001F39F5" w:rsidRDefault="001F39F5" w:rsidP="00B24E1C">
            <w:pPr>
              <w:jc w:val="center"/>
            </w:pPr>
            <w:r>
              <w:t>Feb 11</w:t>
            </w:r>
          </w:p>
        </w:tc>
        <w:tc>
          <w:tcPr>
            <w:tcW w:w="2049"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A6" w14:textId="77777777" w:rsidR="001F39F5" w:rsidRDefault="001F39F5" w:rsidP="00B24E1C">
            <w:pPr>
              <w:jc w:val="center"/>
            </w:pPr>
            <w:r>
              <w:rPr>
                <w:color w:val="111111"/>
                <w:sz w:val="20"/>
                <w:szCs w:val="20"/>
              </w:rPr>
              <w:t>Feb 24 – Mar 8</w:t>
            </w:r>
          </w:p>
        </w:tc>
        <w:tc>
          <w:tcPr>
            <w:tcW w:w="185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A7" w14:textId="77777777" w:rsidR="001F39F5" w:rsidRDefault="001F39F5" w:rsidP="00B24E1C">
            <w:pPr>
              <w:jc w:val="center"/>
            </w:pPr>
            <w:r>
              <w:rPr>
                <w:b/>
                <w:bCs/>
                <w:color w:val="2D7A00"/>
                <w:sz w:val="20"/>
                <w:szCs w:val="20"/>
              </w:rPr>
              <w:t>✓ Mar 9</w:t>
            </w:r>
          </w:p>
        </w:tc>
      </w:tr>
      <w:tr w:rsidR="001F39F5" w14:paraId="68481FAF"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233C"/>
          </w:tcPr>
          <w:p w14:paraId="52AAE636" w14:textId="789950AE" w:rsidR="001F39F5" w:rsidRPr="00DF638E" w:rsidRDefault="001F39F5" w:rsidP="00B24E1C">
            <w:pPr>
              <w:jc w:val="center"/>
              <w:rPr>
                <w:b/>
                <w:bCs/>
                <w:color w:val="FFFFFF" w:themeColor="background1"/>
              </w:rPr>
            </w:pPr>
            <w:r w:rsidRPr="00DF638E">
              <w:rPr>
                <w:b/>
                <w:bCs/>
                <w:color w:val="FFFFFF" w:themeColor="background1"/>
              </w:rPr>
              <w:t>Cycle 5</w:t>
            </w:r>
          </w:p>
        </w:tc>
        <w:tc>
          <w:tcPr>
            <w:tcW w:w="1358"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10FE3234" w14:textId="509E349F" w:rsidR="001F39F5" w:rsidRDefault="001F39F5" w:rsidP="00B24E1C">
            <w:pPr>
              <w:jc w:val="center"/>
            </w:pPr>
            <w:r>
              <w:t>Feb 12</w:t>
            </w:r>
          </w:p>
        </w:tc>
        <w:tc>
          <w:tcPr>
            <w:tcW w:w="1034" w:type="dxa"/>
            <w:tcBorders>
              <w:top w:val="single" w:sz="1" w:space="0" w:color="BBCFDD"/>
              <w:left w:val="single" w:sz="1" w:space="0" w:color="BBCFDD"/>
              <w:bottom w:val="single" w:sz="1" w:space="0" w:color="BBCFDD"/>
              <w:right w:val="single" w:sz="1" w:space="0" w:color="BBCFDD"/>
            </w:tcBorders>
            <w:shd w:val="clear" w:color="auto" w:fill="F0F6FA"/>
          </w:tcPr>
          <w:p w14:paraId="3ECE63D5" w14:textId="77777777" w:rsidR="001F39F5" w:rsidRDefault="001F39F5" w:rsidP="00B24E1C">
            <w:pPr>
              <w:jc w:val="center"/>
            </w:pPr>
            <w:r>
              <w:t>Apr 6</w:t>
            </w:r>
          </w:p>
        </w:tc>
        <w:tc>
          <w:tcPr>
            <w:tcW w:w="2049"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AC" w14:textId="77777777" w:rsidR="001F39F5" w:rsidRDefault="001F39F5" w:rsidP="00B24E1C">
            <w:pPr>
              <w:jc w:val="center"/>
            </w:pPr>
            <w:r>
              <w:rPr>
                <w:color w:val="111111"/>
                <w:sz w:val="20"/>
                <w:szCs w:val="20"/>
              </w:rPr>
              <w:t>Apr 16 – Apr 29</w:t>
            </w:r>
          </w:p>
        </w:tc>
        <w:tc>
          <w:tcPr>
            <w:tcW w:w="185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8481FAD" w14:textId="77777777" w:rsidR="001F39F5" w:rsidRDefault="001F39F5" w:rsidP="00B24E1C">
            <w:pPr>
              <w:jc w:val="center"/>
            </w:pPr>
            <w:r>
              <w:rPr>
                <w:b/>
                <w:bCs/>
                <w:color w:val="2D7A00"/>
                <w:sz w:val="20"/>
                <w:szCs w:val="20"/>
              </w:rPr>
              <w:t>✓ Apr 30</w:t>
            </w:r>
          </w:p>
        </w:tc>
      </w:tr>
      <w:tr w:rsidR="001F39F5" w14:paraId="68481FB5" w14:textId="77777777" w:rsidTr="00913774">
        <w:trPr>
          <w:jc w:val="center"/>
        </w:trPr>
        <w:tc>
          <w:tcPr>
            <w:tcW w:w="1709" w:type="dxa"/>
            <w:tcBorders>
              <w:top w:val="single" w:sz="1" w:space="0" w:color="BBCFDD"/>
              <w:left w:val="single" w:sz="1" w:space="0" w:color="BBCFDD"/>
              <w:bottom w:val="single" w:sz="1" w:space="0" w:color="BBCFDD"/>
              <w:right w:val="single" w:sz="1" w:space="0" w:color="BBCFDD"/>
            </w:tcBorders>
            <w:shd w:val="clear" w:color="auto" w:fill="009DDE"/>
          </w:tcPr>
          <w:p w14:paraId="2482A2A8" w14:textId="144B25F2" w:rsidR="001F39F5" w:rsidRPr="00DF638E" w:rsidRDefault="001F39F5" w:rsidP="00B24E1C">
            <w:pPr>
              <w:jc w:val="center"/>
              <w:rPr>
                <w:b/>
                <w:bCs/>
                <w:color w:val="FFFFFF" w:themeColor="background1"/>
              </w:rPr>
            </w:pPr>
            <w:r w:rsidRPr="00DF638E">
              <w:rPr>
                <w:b/>
                <w:bCs/>
                <w:color w:val="FFFFFF" w:themeColor="background1"/>
              </w:rPr>
              <w:t>Cycle 6</w:t>
            </w:r>
          </w:p>
        </w:tc>
        <w:tc>
          <w:tcPr>
            <w:tcW w:w="1358"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75DF31CE" w14:textId="51AB8C6C" w:rsidR="001F39F5" w:rsidRDefault="001F39F5" w:rsidP="00B24E1C">
            <w:pPr>
              <w:jc w:val="center"/>
            </w:pPr>
            <w:r>
              <w:t>Apr 7</w:t>
            </w:r>
          </w:p>
        </w:tc>
        <w:tc>
          <w:tcPr>
            <w:tcW w:w="1034" w:type="dxa"/>
            <w:tcBorders>
              <w:top w:val="single" w:sz="1" w:space="0" w:color="BBCFDD"/>
              <w:left w:val="single" w:sz="1" w:space="0" w:color="BBCFDD"/>
              <w:bottom w:val="single" w:sz="1" w:space="0" w:color="BBCFDD"/>
              <w:right w:val="single" w:sz="1" w:space="0" w:color="BBCFDD"/>
            </w:tcBorders>
            <w:shd w:val="clear" w:color="auto" w:fill="FFFFFF"/>
          </w:tcPr>
          <w:p w14:paraId="0ED8B21B" w14:textId="77777777" w:rsidR="001F39F5" w:rsidRDefault="001F39F5" w:rsidP="00B24E1C">
            <w:pPr>
              <w:jc w:val="center"/>
            </w:pPr>
            <w:r>
              <w:t>Jun 1</w:t>
            </w:r>
          </w:p>
        </w:tc>
        <w:tc>
          <w:tcPr>
            <w:tcW w:w="2049"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B2" w14:textId="77777777" w:rsidR="001F39F5" w:rsidRDefault="001F39F5" w:rsidP="00B24E1C">
            <w:pPr>
              <w:jc w:val="center"/>
            </w:pPr>
            <w:r>
              <w:rPr>
                <w:color w:val="111111"/>
                <w:sz w:val="20"/>
                <w:szCs w:val="20"/>
              </w:rPr>
              <w:t>Jun 11 – Jun 24</w:t>
            </w:r>
          </w:p>
        </w:tc>
        <w:tc>
          <w:tcPr>
            <w:tcW w:w="185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8481FB3" w14:textId="77777777" w:rsidR="001F39F5" w:rsidRDefault="001F39F5" w:rsidP="00B24E1C">
            <w:pPr>
              <w:jc w:val="center"/>
            </w:pPr>
            <w:r>
              <w:rPr>
                <w:b/>
                <w:bCs/>
                <w:color w:val="2D7A00"/>
                <w:sz w:val="20"/>
                <w:szCs w:val="20"/>
              </w:rPr>
              <w:t>✓ Jun 25</w:t>
            </w:r>
          </w:p>
        </w:tc>
      </w:tr>
    </w:tbl>
    <w:p w14:paraId="68481FB8" w14:textId="7676767C" w:rsidR="00A30918" w:rsidRDefault="00894243" w:rsidP="00F6094E">
      <w:pPr>
        <w:spacing w:before="80" w:after="80"/>
        <w:ind w:right="180"/>
      </w:pPr>
      <w:r>
        <w:rPr>
          <w:i/>
          <w:iCs/>
          <w:color w:val="444444"/>
          <w:sz w:val="20"/>
          <w:szCs w:val="20"/>
        </w:rPr>
        <w:t>Cycle 1 opens June 2 of the prior fiscal year. Submissions are accepted continuously across fiscal years. Decisions are targeted within approximately four weeks of each cutoff. GRA will flag any missing items (quotes, missing sections) before the cutoff, giving teams time to resolve before formal review.</w:t>
      </w:r>
    </w:p>
    <w:p w14:paraId="68481FB9" w14:textId="39A5CE8F" w:rsidR="00A30918" w:rsidRDefault="00894243">
      <w:pPr>
        <w:pBdr>
          <w:top w:val="single" w:sz="6" w:space="0" w:color="009CDE"/>
        </w:pBdr>
        <w:spacing w:before="120" w:after="80"/>
        <w:jc w:val="center"/>
      </w:pPr>
      <w:r>
        <w:rPr>
          <w:color w:val="444444"/>
        </w:rPr>
        <w:t xml:space="preserve">Questions?  Email: </w:t>
      </w:r>
      <w:r>
        <w:rPr>
          <w:b/>
          <w:bCs/>
          <w:color w:val="009CDE"/>
        </w:rPr>
        <w:t>Grants@GRA.org</w:t>
      </w:r>
      <w:r>
        <w:rPr>
          <w:color w:val="444444"/>
        </w:rPr>
        <w:t xml:space="preserve">  ·  GRA.org  </w:t>
      </w:r>
    </w:p>
    <w:sectPr w:rsidR="00A30918">
      <w:head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1B44" w14:textId="77777777" w:rsidR="006E3327" w:rsidRDefault="006E3327">
      <w:r>
        <w:separator/>
      </w:r>
    </w:p>
  </w:endnote>
  <w:endnote w:type="continuationSeparator" w:id="0">
    <w:p w14:paraId="61AFADEB" w14:textId="77777777" w:rsidR="006E3327" w:rsidRDefault="006E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4B19" w14:textId="77777777" w:rsidR="006E3327" w:rsidRDefault="006E3327">
      <w:r>
        <w:separator/>
      </w:r>
    </w:p>
  </w:footnote>
  <w:footnote w:type="continuationSeparator" w:id="0">
    <w:p w14:paraId="273603E3" w14:textId="77777777" w:rsidR="006E3327" w:rsidRDefault="006E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1FBA" w14:textId="77777777" w:rsidR="00A30918" w:rsidRDefault="00894243">
    <w:pPr>
      <w:pBdr>
        <w:bottom w:val="single" w:sz="6" w:space="0" w:color="009CDE"/>
      </w:pBdr>
      <w:tabs>
        <w:tab w:val="right" w:pos="9360"/>
      </w:tabs>
      <w:spacing w:after="80"/>
    </w:pPr>
    <w:r>
      <w:rPr>
        <w:b/>
        <w:bCs/>
        <w:color w:val="00243C"/>
        <w:sz w:val="18"/>
        <w:szCs w:val="18"/>
      </w:rPr>
      <w:t xml:space="preserve">GRA Innovation &amp; Entrepreneurship </w:t>
    </w:r>
    <w:proofErr w:type="gramStart"/>
    <w:r>
      <w:rPr>
        <w:b/>
        <w:bCs/>
        <w:color w:val="00243C"/>
        <w:sz w:val="18"/>
        <w:szCs w:val="18"/>
      </w:rPr>
      <w:t>Program  ·</w:t>
    </w:r>
    <w:proofErr w:type="gramEnd"/>
    <w:r>
      <w:rPr>
        <w:b/>
        <w:bCs/>
        <w:color w:val="00243C"/>
        <w:sz w:val="18"/>
        <w:szCs w:val="18"/>
      </w:rPr>
      <w:t xml:space="preserve">  University Representative Guide</w:t>
    </w:r>
    <w:r>
      <w:rPr>
        <w:sz w:val="18"/>
        <w:szCs w:val="18"/>
      </w:rPr>
      <w:tab/>
    </w:r>
    <w:r>
      <w:rPr>
        <w:color w:val="009CDE"/>
        <w:sz w:val="18"/>
        <w:szCs w:val="18"/>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BB8"/>
    <w:multiLevelType w:val="hybridMultilevel"/>
    <w:tmpl w:val="A1FA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82667E"/>
    <w:multiLevelType w:val="hybridMultilevel"/>
    <w:tmpl w:val="71A060FE"/>
    <w:lvl w:ilvl="0" w:tplc="463E2198">
      <w:start w:val="1"/>
      <w:numFmt w:val="bullet"/>
      <w:lvlText w:val="•"/>
      <w:lvlJc w:val="left"/>
      <w:pPr>
        <w:ind w:left="540" w:hanging="300"/>
      </w:pPr>
    </w:lvl>
    <w:lvl w:ilvl="1" w:tplc="2AC29E1E">
      <w:numFmt w:val="decimal"/>
      <w:lvlText w:val=""/>
      <w:lvlJc w:val="left"/>
    </w:lvl>
    <w:lvl w:ilvl="2" w:tplc="7B12C69E">
      <w:numFmt w:val="decimal"/>
      <w:lvlText w:val=""/>
      <w:lvlJc w:val="left"/>
    </w:lvl>
    <w:lvl w:ilvl="3" w:tplc="1D94F5CE">
      <w:numFmt w:val="decimal"/>
      <w:lvlText w:val=""/>
      <w:lvlJc w:val="left"/>
    </w:lvl>
    <w:lvl w:ilvl="4" w:tplc="82D23516">
      <w:numFmt w:val="decimal"/>
      <w:lvlText w:val=""/>
      <w:lvlJc w:val="left"/>
    </w:lvl>
    <w:lvl w:ilvl="5" w:tplc="1E783B14">
      <w:numFmt w:val="decimal"/>
      <w:lvlText w:val=""/>
      <w:lvlJc w:val="left"/>
    </w:lvl>
    <w:lvl w:ilvl="6" w:tplc="007A9236">
      <w:numFmt w:val="decimal"/>
      <w:lvlText w:val=""/>
      <w:lvlJc w:val="left"/>
    </w:lvl>
    <w:lvl w:ilvl="7" w:tplc="A8DEE9A2">
      <w:numFmt w:val="decimal"/>
      <w:lvlText w:val=""/>
      <w:lvlJc w:val="left"/>
    </w:lvl>
    <w:lvl w:ilvl="8" w:tplc="9A1A82BE">
      <w:numFmt w:val="decimal"/>
      <w:lvlText w:val=""/>
      <w:lvlJc w:val="left"/>
    </w:lvl>
  </w:abstractNum>
  <w:abstractNum w:abstractNumId="2" w15:restartNumberingAfterBreak="0">
    <w:nsid w:val="29711A47"/>
    <w:multiLevelType w:val="hybridMultilevel"/>
    <w:tmpl w:val="B30A2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CE66D7"/>
    <w:multiLevelType w:val="hybridMultilevel"/>
    <w:tmpl w:val="09902214"/>
    <w:lvl w:ilvl="0" w:tplc="E4F4E086">
      <w:start w:val="1"/>
      <w:numFmt w:val="bullet"/>
      <w:lvlText w:val="●"/>
      <w:lvlJc w:val="left"/>
      <w:pPr>
        <w:ind w:left="720" w:hanging="360"/>
      </w:pPr>
    </w:lvl>
    <w:lvl w:ilvl="1" w:tplc="1EF4E8E8">
      <w:start w:val="1"/>
      <w:numFmt w:val="bullet"/>
      <w:lvlText w:val="○"/>
      <w:lvlJc w:val="left"/>
      <w:pPr>
        <w:ind w:left="1440" w:hanging="360"/>
      </w:pPr>
    </w:lvl>
    <w:lvl w:ilvl="2" w:tplc="9F28286A">
      <w:start w:val="1"/>
      <w:numFmt w:val="bullet"/>
      <w:lvlText w:val="■"/>
      <w:lvlJc w:val="left"/>
      <w:pPr>
        <w:ind w:left="2160" w:hanging="360"/>
      </w:pPr>
    </w:lvl>
    <w:lvl w:ilvl="3" w:tplc="E92E3BC0">
      <w:start w:val="1"/>
      <w:numFmt w:val="bullet"/>
      <w:lvlText w:val="●"/>
      <w:lvlJc w:val="left"/>
      <w:pPr>
        <w:ind w:left="2880" w:hanging="360"/>
      </w:pPr>
    </w:lvl>
    <w:lvl w:ilvl="4" w:tplc="8BC8087C">
      <w:start w:val="1"/>
      <w:numFmt w:val="bullet"/>
      <w:lvlText w:val="○"/>
      <w:lvlJc w:val="left"/>
      <w:pPr>
        <w:ind w:left="3600" w:hanging="360"/>
      </w:pPr>
    </w:lvl>
    <w:lvl w:ilvl="5" w:tplc="D9A06FC2">
      <w:start w:val="1"/>
      <w:numFmt w:val="bullet"/>
      <w:lvlText w:val="■"/>
      <w:lvlJc w:val="left"/>
      <w:pPr>
        <w:ind w:left="4320" w:hanging="360"/>
      </w:pPr>
    </w:lvl>
    <w:lvl w:ilvl="6" w:tplc="BD4820BE">
      <w:start w:val="1"/>
      <w:numFmt w:val="bullet"/>
      <w:lvlText w:val="●"/>
      <w:lvlJc w:val="left"/>
      <w:pPr>
        <w:ind w:left="5040" w:hanging="360"/>
      </w:pPr>
    </w:lvl>
    <w:lvl w:ilvl="7" w:tplc="740A02C8">
      <w:start w:val="1"/>
      <w:numFmt w:val="bullet"/>
      <w:lvlText w:val="●"/>
      <w:lvlJc w:val="left"/>
      <w:pPr>
        <w:ind w:left="5760" w:hanging="360"/>
      </w:pPr>
    </w:lvl>
    <w:lvl w:ilvl="8" w:tplc="17ACA85E">
      <w:start w:val="1"/>
      <w:numFmt w:val="bullet"/>
      <w:lvlText w:val="●"/>
      <w:lvlJc w:val="left"/>
      <w:pPr>
        <w:ind w:left="6480" w:hanging="360"/>
      </w:pPr>
    </w:lvl>
  </w:abstractNum>
  <w:abstractNum w:abstractNumId="4" w15:restartNumberingAfterBreak="0">
    <w:nsid w:val="5600185B"/>
    <w:multiLevelType w:val="hybridMultilevel"/>
    <w:tmpl w:val="0A3A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85022"/>
    <w:multiLevelType w:val="hybridMultilevel"/>
    <w:tmpl w:val="D3F28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20FB6"/>
    <w:multiLevelType w:val="hybridMultilevel"/>
    <w:tmpl w:val="DCE2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4392E"/>
    <w:multiLevelType w:val="hybridMultilevel"/>
    <w:tmpl w:val="ACBAE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07482"/>
    <w:multiLevelType w:val="hybridMultilevel"/>
    <w:tmpl w:val="F7BC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D5919"/>
    <w:multiLevelType w:val="hybridMultilevel"/>
    <w:tmpl w:val="DB68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2043"/>
    <w:multiLevelType w:val="hybridMultilevel"/>
    <w:tmpl w:val="696E3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09756">
    <w:abstractNumId w:val="3"/>
    <w:lvlOverride w:ilvl="0">
      <w:startOverride w:val="1"/>
    </w:lvlOverride>
  </w:num>
  <w:num w:numId="2" w16cid:durableId="1797337155">
    <w:abstractNumId w:val="1"/>
    <w:lvlOverride w:ilvl="0">
      <w:startOverride w:val="1"/>
    </w:lvlOverride>
  </w:num>
  <w:num w:numId="3" w16cid:durableId="443117646">
    <w:abstractNumId w:val="2"/>
  </w:num>
  <w:num w:numId="4" w16cid:durableId="1976637703">
    <w:abstractNumId w:val="4"/>
  </w:num>
  <w:num w:numId="5" w16cid:durableId="649867025">
    <w:abstractNumId w:val="7"/>
  </w:num>
  <w:num w:numId="6" w16cid:durableId="1933470833">
    <w:abstractNumId w:val="9"/>
  </w:num>
  <w:num w:numId="7" w16cid:durableId="1505516366">
    <w:abstractNumId w:val="10"/>
  </w:num>
  <w:num w:numId="8" w16cid:durableId="263614560">
    <w:abstractNumId w:val="5"/>
  </w:num>
  <w:num w:numId="9" w16cid:durableId="1222015807">
    <w:abstractNumId w:val="6"/>
  </w:num>
  <w:num w:numId="10" w16cid:durableId="1425684670">
    <w:abstractNumId w:val="0"/>
  </w:num>
  <w:num w:numId="11" w16cid:durableId="71639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18"/>
    <w:rsid w:val="00011B35"/>
    <w:rsid w:val="00020593"/>
    <w:rsid w:val="00066468"/>
    <w:rsid w:val="000768A0"/>
    <w:rsid w:val="0008633D"/>
    <w:rsid w:val="000A2E1C"/>
    <w:rsid w:val="000E79E3"/>
    <w:rsid w:val="00124221"/>
    <w:rsid w:val="0013109A"/>
    <w:rsid w:val="00196934"/>
    <w:rsid w:val="00196C6E"/>
    <w:rsid w:val="001D622E"/>
    <w:rsid w:val="001F39F5"/>
    <w:rsid w:val="00255D37"/>
    <w:rsid w:val="0028011C"/>
    <w:rsid w:val="00307299"/>
    <w:rsid w:val="00316299"/>
    <w:rsid w:val="00317971"/>
    <w:rsid w:val="004110C5"/>
    <w:rsid w:val="00424E4E"/>
    <w:rsid w:val="00452829"/>
    <w:rsid w:val="00481CCD"/>
    <w:rsid w:val="00487FC6"/>
    <w:rsid w:val="004B7BDA"/>
    <w:rsid w:val="004F29FE"/>
    <w:rsid w:val="004F5B65"/>
    <w:rsid w:val="00585B32"/>
    <w:rsid w:val="005C0E32"/>
    <w:rsid w:val="005F5709"/>
    <w:rsid w:val="006C5235"/>
    <w:rsid w:val="006E3327"/>
    <w:rsid w:val="006F032C"/>
    <w:rsid w:val="006F6609"/>
    <w:rsid w:val="00702812"/>
    <w:rsid w:val="007964CB"/>
    <w:rsid w:val="007B46EF"/>
    <w:rsid w:val="007E32F1"/>
    <w:rsid w:val="007E51C1"/>
    <w:rsid w:val="007F0BC6"/>
    <w:rsid w:val="007F4676"/>
    <w:rsid w:val="007F52C0"/>
    <w:rsid w:val="00841BF1"/>
    <w:rsid w:val="00856D84"/>
    <w:rsid w:val="00891678"/>
    <w:rsid w:val="00894243"/>
    <w:rsid w:val="008A65CF"/>
    <w:rsid w:val="008B03F9"/>
    <w:rsid w:val="008E10C1"/>
    <w:rsid w:val="008E40B7"/>
    <w:rsid w:val="00913774"/>
    <w:rsid w:val="009341E2"/>
    <w:rsid w:val="009724E4"/>
    <w:rsid w:val="009B0536"/>
    <w:rsid w:val="009D38F9"/>
    <w:rsid w:val="009E6EA3"/>
    <w:rsid w:val="009E7FAD"/>
    <w:rsid w:val="00A042E6"/>
    <w:rsid w:val="00A06091"/>
    <w:rsid w:val="00A307F6"/>
    <w:rsid w:val="00A30918"/>
    <w:rsid w:val="00A36C7A"/>
    <w:rsid w:val="00A555EA"/>
    <w:rsid w:val="00A87B3F"/>
    <w:rsid w:val="00AB688E"/>
    <w:rsid w:val="00AC527C"/>
    <w:rsid w:val="00B07D5E"/>
    <w:rsid w:val="00B20E60"/>
    <w:rsid w:val="00B24E1C"/>
    <w:rsid w:val="00B314D5"/>
    <w:rsid w:val="00B53DB3"/>
    <w:rsid w:val="00B6589D"/>
    <w:rsid w:val="00B9136F"/>
    <w:rsid w:val="00BC4E9C"/>
    <w:rsid w:val="00BD3560"/>
    <w:rsid w:val="00C061F1"/>
    <w:rsid w:val="00C1370C"/>
    <w:rsid w:val="00C30C61"/>
    <w:rsid w:val="00C33363"/>
    <w:rsid w:val="00C905D1"/>
    <w:rsid w:val="00C939E2"/>
    <w:rsid w:val="00C96AF2"/>
    <w:rsid w:val="00D001FD"/>
    <w:rsid w:val="00D31E2A"/>
    <w:rsid w:val="00D34E70"/>
    <w:rsid w:val="00DF638E"/>
    <w:rsid w:val="00E05ADC"/>
    <w:rsid w:val="00E129DE"/>
    <w:rsid w:val="00E1415F"/>
    <w:rsid w:val="00E20DF5"/>
    <w:rsid w:val="00E21E87"/>
    <w:rsid w:val="00EA46B2"/>
    <w:rsid w:val="00EB0312"/>
    <w:rsid w:val="00EC1EED"/>
    <w:rsid w:val="00EC4E61"/>
    <w:rsid w:val="00F14B81"/>
    <w:rsid w:val="00F42551"/>
    <w:rsid w:val="00F6094E"/>
    <w:rsid w:val="00F67FF7"/>
    <w:rsid w:val="00F729BA"/>
    <w:rsid w:val="00F8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1EB4"/>
  <w15:docId w15:val="{3F1518A4-86FF-B641-B6FA-B3D20A51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032C"/>
    <w:pPr>
      <w:tabs>
        <w:tab w:val="center" w:pos="4680"/>
        <w:tab w:val="right" w:pos="9360"/>
      </w:tabs>
    </w:pPr>
  </w:style>
  <w:style w:type="character" w:customStyle="1" w:styleId="HeaderChar">
    <w:name w:val="Header Char"/>
    <w:basedOn w:val="DefaultParagraphFont"/>
    <w:link w:val="Header"/>
    <w:uiPriority w:val="99"/>
    <w:rsid w:val="006F032C"/>
  </w:style>
  <w:style w:type="paragraph" w:styleId="Footer">
    <w:name w:val="footer"/>
    <w:basedOn w:val="Normal"/>
    <w:link w:val="FooterChar"/>
    <w:uiPriority w:val="99"/>
    <w:unhideWhenUsed/>
    <w:rsid w:val="006F032C"/>
    <w:pPr>
      <w:tabs>
        <w:tab w:val="center" w:pos="4680"/>
        <w:tab w:val="right" w:pos="9360"/>
      </w:tabs>
    </w:pPr>
  </w:style>
  <w:style w:type="character" w:customStyle="1" w:styleId="FooterChar">
    <w:name w:val="Footer Char"/>
    <w:basedOn w:val="DefaultParagraphFont"/>
    <w:link w:val="Footer"/>
    <w:uiPriority w:val="99"/>
    <w:rsid w:val="006F032C"/>
  </w:style>
  <w:style w:type="paragraph" w:styleId="Revision">
    <w:name w:val="Revision"/>
    <w:hidden/>
    <w:uiPriority w:val="99"/>
    <w:semiHidden/>
    <w:rsid w:val="006F032C"/>
  </w:style>
  <w:style w:type="character" w:styleId="CommentReference">
    <w:name w:val="annotation reference"/>
    <w:basedOn w:val="DefaultParagraphFont"/>
    <w:uiPriority w:val="99"/>
    <w:semiHidden/>
    <w:unhideWhenUsed/>
    <w:rsid w:val="00A307F6"/>
    <w:rPr>
      <w:sz w:val="16"/>
      <w:szCs w:val="16"/>
    </w:rPr>
  </w:style>
  <w:style w:type="paragraph" w:styleId="CommentText">
    <w:name w:val="annotation text"/>
    <w:basedOn w:val="Normal"/>
    <w:link w:val="CommentTextChar"/>
    <w:uiPriority w:val="99"/>
    <w:semiHidden/>
    <w:unhideWhenUsed/>
    <w:rsid w:val="00A307F6"/>
    <w:rPr>
      <w:sz w:val="20"/>
      <w:szCs w:val="20"/>
    </w:rPr>
  </w:style>
  <w:style w:type="character" w:customStyle="1" w:styleId="CommentTextChar">
    <w:name w:val="Comment Text Char"/>
    <w:basedOn w:val="DefaultParagraphFont"/>
    <w:link w:val="CommentText"/>
    <w:uiPriority w:val="99"/>
    <w:semiHidden/>
    <w:rsid w:val="00A307F6"/>
    <w:rPr>
      <w:sz w:val="20"/>
      <w:szCs w:val="20"/>
    </w:rPr>
  </w:style>
  <w:style w:type="paragraph" w:styleId="CommentSubject">
    <w:name w:val="annotation subject"/>
    <w:basedOn w:val="CommentText"/>
    <w:next w:val="CommentText"/>
    <w:link w:val="CommentSubjectChar"/>
    <w:uiPriority w:val="99"/>
    <w:semiHidden/>
    <w:unhideWhenUsed/>
    <w:rsid w:val="00A307F6"/>
    <w:rPr>
      <w:b/>
      <w:bCs/>
    </w:rPr>
  </w:style>
  <w:style w:type="character" w:customStyle="1" w:styleId="CommentSubjectChar">
    <w:name w:val="Comment Subject Char"/>
    <w:basedOn w:val="CommentTextChar"/>
    <w:link w:val="CommentSubject"/>
    <w:uiPriority w:val="99"/>
    <w:semiHidden/>
    <w:rsid w:val="00A307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C4B3C494F6847AAB986D0AB1851ED" ma:contentTypeVersion="14" ma:contentTypeDescription="Create a new document." ma:contentTypeScope="" ma:versionID="842cfaca5a3fecd1ae57294a3a7e8fb6">
  <xsd:schema xmlns:xsd="http://www.w3.org/2001/XMLSchema" xmlns:xs="http://www.w3.org/2001/XMLSchema" xmlns:p="http://schemas.microsoft.com/office/2006/metadata/properties" xmlns:ns2="f770f1c2-b32b-4886-ae07-43354906388b" xmlns:ns3="8e5a57c1-1a26-4af8-87e3-f8ca8c1c50d9" targetNamespace="http://schemas.microsoft.com/office/2006/metadata/properties" ma:root="true" ma:fieldsID="1e32b0276c23b982b49e325afbda6ed1" ns2:_="" ns3:_="">
    <xsd:import namespace="f770f1c2-b32b-4886-ae07-43354906388b"/>
    <xsd:import namespace="8e5a57c1-1a26-4af8-87e3-f8ca8c1c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f1c2-b32b-4886-ae07-433549063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7604c-cde0-453d-824b-188b36406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a57c1-1a26-4af8-87e3-f8ca8c1c50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242c3-2d08-4cbb-b2bf-fc72d5d1dfdd}" ma:internalName="TaxCatchAll" ma:showField="CatchAllData" ma:web="8e5a57c1-1a26-4af8-87e3-f8ca8c1c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5a57c1-1a26-4af8-87e3-f8ca8c1c50d9" xsi:nil="true"/>
    <lcf76f155ced4ddcb4097134ff3c332f xmlns="f770f1c2-b32b-4886-ae07-433549063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8E768A-5D47-4110-B5B9-61654FD4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f1c2-b32b-4886-ae07-43354906388b"/>
    <ds:schemaRef ds:uri="8e5a57c1-1a26-4af8-87e3-f8ca8c1c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A3DC4-63F4-4B13-81A4-F5E02480DA47}">
  <ds:schemaRefs>
    <ds:schemaRef ds:uri="http://schemas.microsoft.com/sharepoint/v3/contenttype/forms"/>
  </ds:schemaRefs>
</ds:datastoreItem>
</file>

<file path=customXml/itemProps3.xml><?xml version="1.0" encoding="utf-8"?>
<ds:datastoreItem xmlns:ds="http://schemas.openxmlformats.org/officeDocument/2006/customXml" ds:itemID="{406FB1F6-4AED-446E-A04B-2F49C237E84D}">
  <ds:schemaRefs>
    <ds:schemaRef ds:uri="http://schemas.microsoft.com/office/2006/metadata/properties"/>
    <ds:schemaRef ds:uri="http://schemas.microsoft.com/office/infopath/2007/PartnerControls"/>
    <ds:schemaRef ds:uri="8e5a57c1-1a26-4af8-87e3-f8ca8c1c50d9"/>
    <ds:schemaRef ds:uri="f770f1c2-b32b-4886-ae07-43354906388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2200</Words>
  <Characters>11990</Characters>
  <Application>Microsoft Office Word</Application>
  <DocSecurity>0</DocSecurity>
  <Lines>399</Lines>
  <Paragraphs>240</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Short, Andrew E</cp:lastModifiedBy>
  <cp:revision>6</cp:revision>
  <dcterms:created xsi:type="dcterms:W3CDTF">2026-03-17T18:11:00Z</dcterms:created>
  <dcterms:modified xsi:type="dcterms:W3CDTF">2026-03-18T20:32:00Z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0x010100E74C4B3C494F6847AAB986D0AB1851ED</vt:lpwstr>
  </property>
  <property fmtid="{D5CDD505-2E9C-101B-9397-08002B2CF9AE}" pid="3" name="MediaServiceImageTags">
    <vt:lpwstr/>
  </property>
</Properties>
</file>